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81ABE" w14:textId="552AAEF2" w:rsidR="002142C6" w:rsidRDefault="00B660DA" w:rsidP="00CE5762">
      <w:r>
        <w:rPr>
          <w:noProof/>
          <w:lang w:val="en-AU" w:eastAsia="en-AU"/>
        </w:rPr>
        <w:drawing>
          <wp:anchor distT="0" distB="0" distL="114300" distR="114300" simplePos="0" relativeHeight="251660288" behindDoc="1" locked="0" layoutInCell="1" allowOverlap="1" wp14:anchorId="5B5FE00D" wp14:editId="270D61DD">
            <wp:simplePos x="0" y="0"/>
            <wp:positionH relativeFrom="column">
              <wp:align>left</wp:align>
            </wp:positionH>
            <wp:positionV relativeFrom="page">
              <wp:posOffset>0</wp:posOffset>
            </wp:positionV>
            <wp:extent cx="7558860" cy="10690931"/>
            <wp:effectExtent l="0" t="0" r="4445" b="0"/>
            <wp:wrapNone/>
            <wp:docPr id="1" name="Picture 1" title="VCOSS publications fro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dk orange.jpg"/>
                    <pic:cNvPicPr/>
                  </pic:nvPicPr>
                  <pic:blipFill>
                    <a:blip r:embed="rId8">
                      <a:extLst>
                        <a:ext uri="{28A0092B-C50C-407E-A947-70E740481C1C}">
                          <a14:useLocalDpi xmlns:a14="http://schemas.microsoft.com/office/drawing/2010/main" val="0"/>
                        </a:ext>
                      </a:extLst>
                    </a:blip>
                    <a:stretch>
                      <a:fillRect/>
                    </a:stretch>
                  </pic:blipFill>
                  <pic:spPr>
                    <a:xfrm>
                      <a:off x="0" y="0"/>
                      <a:ext cx="7558860" cy="10690931"/>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67F41">
        <w:t xml:space="preserve"> </w:t>
      </w:r>
    </w:p>
    <w:p w14:paraId="5A16C5E9" w14:textId="37D15D8B" w:rsidR="00BE2F83" w:rsidRDefault="00BE2F83" w:rsidP="00350234">
      <w:pPr>
        <w:pStyle w:val="Titlecover"/>
      </w:pPr>
      <w:r>
        <mc:AlternateContent>
          <mc:Choice Requires="wps">
            <w:drawing>
              <wp:anchor distT="0" distB="0" distL="114300" distR="114300" simplePos="0" relativeHeight="251659264" behindDoc="0" locked="0" layoutInCell="1" allowOverlap="1" wp14:anchorId="478E4C33" wp14:editId="390E2C93">
                <wp:simplePos x="0" y="0"/>
                <wp:positionH relativeFrom="column">
                  <wp:posOffset>-6743700</wp:posOffset>
                </wp:positionH>
                <wp:positionV relativeFrom="paragraph">
                  <wp:posOffset>4004310</wp:posOffset>
                </wp:positionV>
                <wp:extent cx="6172200" cy="3886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72200" cy="38862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1A22E3" w14:textId="77777777" w:rsidR="00D02193" w:rsidRPr="00860016" w:rsidRDefault="00D02193" w:rsidP="00CE5762">
                            <w:r w:rsidRPr="00860016">
                              <w:t>Title Goes Here</w:t>
                            </w:r>
                          </w:p>
                          <w:p w14:paraId="43B94830" w14:textId="77777777" w:rsidR="00D02193" w:rsidRDefault="00D02193" w:rsidP="00CE5762">
                            <w:proofErr w:type="gramStart"/>
                            <w:r w:rsidRPr="00860016">
                              <w:t>across</w:t>
                            </w:r>
                            <w:proofErr w:type="gramEnd"/>
                            <w:r w:rsidRPr="00860016">
                              <w:t xml:space="preserve"> two lines</w:t>
                            </w:r>
                          </w:p>
                          <w:p w14:paraId="36133E97" w14:textId="77777777" w:rsidR="00D02193" w:rsidRPr="00860016" w:rsidRDefault="00D02193" w:rsidP="00CE5762">
                            <w:r w:rsidRPr="00860016">
                              <w:t>Subtitle (if required) across</w:t>
                            </w:r>
                          </w:p>
                          <w:p w14:paraId="1B5508F0" w14:textId="77777777" w:rsidR="00D02193" w:rsidRPr="00860016" w:rsidRDefault="00D02193" w:rsidP="00CE5762">
                            <w:proofErr w:type="gramStart"/>
                            <w:r w:rsidRPr="00860016">
                              <w:t>two</w:t>
                            </w:r>
                            <w:proofErr w:type="gramEnd"/>
                            <w:r w:rsidRPr="00860016">
                              <w:t xml:space="preserve"> lines</w:t>
                            </w:r>
                          </w:p>
                          <w:p w14:paraId="2844B01D" w14:textId="77777777" w:rsidR="00D02193" w:rsidRPr="002142C6" w:rsidRDefault="00D02193" w:rsidP="00CE5762">
                            <w:r w:rsidRPr="00860016">
                              <w:t>00 Month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8E4C33" id="_x0000_t202" coordsize="21600,21600" o:spt="202" path="m,l,21600r21600,l21600,xe">
                <v:stroke joinstyle="miter"/>
                <v:path gradientshapeok="t" o:connecttype="rect"/>
              </v:shapetype>
              <v:shape id="Text Box 2" o:spid="_x0000_s1026" type="#_x0000_t202" style="position:absolute;left:0;text-align:left;margin-left:-531pt;margin-top:315.3pt;width:486pt;height:3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" filled="f" stroked="f">
                <v:textbox>
                  <w:txbxContent>
                    <w:p w14:paraId="561A22E3" w14:textId="77777777" w:rsidR="00D02193" w:rsidRPr="00860016" w:rsidRDefault="00D02193" w:rsidP="00CE5762">
                      <w:r w:rsidRPr="00860016">
                        <w:t>Title Goes Here</w:t>
                      </w:r>
                    </w:p>
                    <w:p w14:paraId="43B94830" w14:textId="77777777" w:rsidR="00D02193" w:rsidRDefault="00D02193" w:rsidP="00CE5762">
                      <w:proofErr w:type="gramStart"/>
                      <w:r w:rsidRPr="00860016">
                        <w:t>across</w:t>
                      </w:r>
                      <w:proofErr w:type="gramEnd"/>
                      <w:r w:rsidRPr="00860016">
                        <w:t xml:space="preserve"> two lines</w:t>
                      </w:r>
                    </w:p>
                    <w:p w14:paraId="36133E97" w14:textId="77777777" w:rsidR="00D02193" w:rsidRPr="00860016" w:rsidRDefault="00D02193" w:rsidP="00CE5762">
                      <w:r w:rsidRPr="00860016">
                        <w:t>Subtitle (if required) across</w:t>
                      </w:r>
                    </w:p>
                    <w:p w14:paraId="1B5508F0" w14:textId="77777777" w:rsidR="00D02193" w:rsidRPr="00860016" w:rsidRDefault="00D02193" w:rsidP="00CE5762">
                      <w:proofErr w:type="gramStart"/>
                      <w:r w:rsidRPr="00860016">
                        <w:t>two</w:t>
                      </w:r>
                      <w:proofErr w:type="gramEnd"/>
                      <w:r w:rsidRPr="00860016">
                        <w:t xml:space="preserve"> lines</w:t>
                      </w:r>
                    </w:p>
                    <w:p w14:paraId="2844B01D" w14:textId="77777777" w:rsidR="00D02193" w:rsidRPr="002142C6" w:rsidRDefault="00D02193" w:rsidP="00CE5762">
                      <w:r w:rsidRPr="00860016">
                        <w:t>00 Month Year</w:t>
                      </w:r>
                    </w:p>
                  </w:txbxContent>
                </v:textbox>
              </v:shape>
            </w:pict>
          </mc:Fallback>
        </mc:AlternateContent>
      </w:r>
      <w:r w:rsidR="000E46B9">
        <w:t>Restoring youth justice</w:t>
      </w:r>
    </w:p>
    <w:p w14:paraId="36B36226" w14:textId="77777777" w:rsidR="002142C6" w:rsidRPr="00BE2F83" w:rsidRDefault="00513644" w:rsidP="00CE5762">
      <w:pPr>
        <w:pStyle w:val="Subtitlecover"/>
      </w:pPr>
      <w:r>
        <w:t>VCOSS submission to the inquiry into youth justice centres</w:t>
      </w:r>
    </w:p>
    <w:p w14:paraId="1AC911DE" w14:textId="4C11A609" w:rsidR="00BE2F83" w:rsidRPr="001607B4" w:rsidRDefault="00D47813" w:rsidP="00481A1B">
      <w:pPr>
        <w:pStyle w:val="Datecover"/>
      </w:pPr>
      <w:r>
        <w:t>March</w:t>
      </w:r>
      <w:r w:rsidRPr="001607B4">
        <w:t xml:space="preserve"> </w:t>
      </w:r>
      <w:r w:rsidR="00513644">
        <w:t>201</w:t>
      </w:r>
      <w:r w:rsidR="00481A1B">
        <w:t>7</w:t>
      </w:r>
    </w:p>
    <w:p w14:paraId="2EBF1EC2" w14:textId="77777777" w:rsidR="001607B4" w:rsidRPr="001607B4" w:rsidRDefault="001607B4" w:rsidP="00CE5762">
      <w:pPr>
        <w:pStyle w:val="Titlecover"/>
        <w:sectPr w:rsidR="001607B4" w:rsidRPr="001607B4" w:rsidSect="00014C26">
          <w:headerReference w:type="even" r:id="rId9"/>
          <w:headerReference w:type="default" r:id="rId10"/>
          <w:footerReference w:type="even" r:id="rId11"/>
          <w:footerReference w:type="default" r:id="rId12"/>
          <w:pgSz w:w="11900" w:h="16840"/>
          <w:pgMar w:top="0" w:right="0" w:bottom="0" w:left="0" w:header="708" w:footer="708" w:gutter="0"/>
          <w:cols w:space="708"/>
          <w:docGrid w:linePitch="360"/>
        </w:sectPr>
      </w:pPr>
    </w:p>
    <w:p w14:paraId="65FF8BC1" w14:textId="6ED9FE2C" w:rsidR="004F4976" w:rsidRPr="004C3261" w:rsidRDefault="004F4976" w:rsidP="004F4976">
      <w:pPr>
        <w:pStyle w:val="Abouthead"/>
        <w:ind w:left="6521"/>
      </w:pPr>
      <w:r>
        <w:rPr>
          <w:noProof/>
          <w:lang w:val="en-AU" w:eastAsia="en-AU"/>
        </w:rPr>
        <w:lastRenderedPageBreak/>
        <w:drawing>
          <wp:anchor distT="0" distB="0" distL="114300" distR="114300" simplePos="0" relativeHeight="251669504" behindDoc="1" locked="0" layoutInCell="1" allowOverlap="1" wp14:anchorId="41DC1E8F" wp14:editId="348D38CE">
            <wp:simplePos x="0" y="0"/>
            <wp:positionH relativeFrom="page">
              <wp:posOffset>-247650</wp:posOffset>
            </wp:positionH>
            <wp:positionV relativeFrom="paragraph">
              <wp:posOffset>-361315</wp:posOffset>
            </wp:positionV>
            <wp:extent cx="8272800" cy="11696400"/>
            <wp:effectExtent l="0" t="0" r="0" b="635"/>
            <wp:wrapNone/>
            <wp:docPr id="13" name="Picture 13" descr="The Victorian Council of Social Service (VCOSS) is the peak body of the social and community sector in Victoria. VCOSS members reflect the diversity of the sector and include large charities, peak organisations, small community services, advocacy groups, and individuals interested in social policy. In addition to supporting the sector, VCOSS represents the interests of vulnerable and disadvantaged Victorians in policy debates and advocates for the development of a sustainable, fair and equitable society.&#10;&#10;This submission was prepared by VCOSS Policy Advisor Carly Nowell with input from VCOSS members.&#10;&#10;Authorised by:&#10;Emma King, Chief Executive Officer&#10;© Copyright 2015 &#10;Victorian Council of Social Service&#10;&#10;Victorian Council of Social Service&#10;Level 8, 128 Exhibition Street&#10;Melbourne, Victoria, 3000&#10;+61 3 9235 1000&#10;&#10;For enquiries:&#10;Llewellyn Reynders, Policy and Programs Manager&#10;llewellyn.reynders@vcoss.org.au" title="About V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 front cvr.jpg"/>
                    <pic:cNvPicPr/>
                  </pic:nvPicPr>
                  <pic:blipFill>
                    <a:blip r:embed="rId13">
                      <a:extLst>
                        <a:ext uri="{28A0092B-C50C-407E-A947-70E740481C1C}">
                          <a14:useLocalDpi xmlns:a14="http://schemas.microsoft.com/office/drawing/2010/main" val="0"/>
                        </a:ext>
                      </a:extLst>
                    </a:blip>
                    <a:stretch>
                      <a:fillRect/>
                    </a:stretch>
                  </pic:blipFill>
                  <pic:spPr>
                    <a:xfrm>
                      <a:off x="0" y="0"/>
                      <a:ext cx="8272800" cy="116964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C3261">
        <w:t>About VCOSS</w:t>
      </w:r>
    </w:p>
    <w:p w14:paraId="17A15A76" w14:textId="77777777" w:rsidR="004F4976" w:rsidRPr="001607B4" w:rsidRDefault="004F4976" w:rsidP="004F4976">
      <w:pPr>
        <w:pStyle w:val="Abouttext"/>
        <w:spacing w:before="0"/>
        <w:ind w:left="5891" w:right="1270"/>
      </w:pPr>
      <w:r w:rsidRPr="009B534B">
        <w:t>The Victorian Council of Social Service (VCOSS) is the peak body of the social and community sector in Victoria. VCOSS members reflect the diversity of the sector and include large charities, peak organisations, small community services, advocacy groups, and individuals interested in social policy. In addition to supporting the sector, VCOSS represents the interests of vulnerable and disadvantaged Victorians in policy debates and advocates for the development of a sustainable, fair and equitable society.</w:t>
      </w:r>
      <w:r>
        <w:br/>
      </w:r>
      <w:r w:rsidRPr="009F303B">
        <w:rPr>
          <w:sz w:val="4"/>
          <w:szCs w:val="4"/>
        </w:rPr>
        <w:br/>
      </w:r>
      <w:r>
        <w:t xml:space="preserve">This submission was prepared for VCOSS by VCOSS Policy Advisor </w:t>
      </w:r>
      <w:r w:rsidRPr="00310443">
        <w:t>Carly Nowell with input from VCOSS members.</w:t>
      </w:r>
      <w:r>
        <w:br/>
      </w:r>
      <w:r w:rsidRPr="009F303B">
        <w:rPr>
          <w:sz w:val="8"/>
          <w:szCs w:val="8"/>
        </w:rPr>
        <w:br/>
      </w:r>
      <w:r w:rsidRPr="009F303B">
        <w:rPr>
          <w:b/>
        </w:rPr>
        <w:t>Authorised by:</w:t>
      </w:r>
      <w:r w:rsidRPr="009B534B">
        <w:br/>
      </w:r>
      <w:r w:rsidRPr="001607B4">
        <w:t>Emma King, Chief Ex</w:t>
      </w:r>
      <w:r>
        <w:t>ecutive Officer</w:t>
      </w:r>
      <w:r>
        <w:br/>
      </w:r>
      <w:r w:rsidRPr="00C816F1">
        <w:rPr>
          <w:sz w:val="8"/>
          <w:szCs w:val="8"/>
        </w:rPr>
        <w:br/>
      </w:r>
      <w:r>
        <w:t>© Copyright 2016</w:t>
      </w:r>
      <w:r w:rsidRPr="001607B4">
        <w:t xml:space="preserve"> </w:t>
      </w:r>
      <w:r w:rsidRPr="001607B4">
        <w:br/>
        <w:t>Victorian Council of Social Service</w:t>
      </w:r>
      <w:r w:rsidRPr="009B534B">
        <w:br/>
      </w:r>
      <w:r w:rsidRPr="001607B4">
        <w:t>Level 8, 128 Exhibition Street</w:t>
      </w:r>
      <w:r w:rsidRPr="001607B4">
        <w:br/>
        <w:t>Melbourne, Victoria, 3000</w:t>
      </w:r>
      <w:r w:rsidRPr="001607B4">
        <w:br/>
        <w:t>+61 3 9235 1000</w:t>
      </w:r>
      <w:r>
        <w:br/>
      </w:r>
      <w:r w:rsidRPr="009F303B">
        <w:rPr>
          <w:sz w:val="4"/>
          <w:szCs w:val="4"/>
        </w:rPr>
        <w:br/>
      </w:r>
      <w:r w:rsidRPr="009F303B">
        <w:rPr>
          <w:b/>
        </w:rPr>
        <w:t>For enquiries:</w:t>
      </w:r>
      <w:r w:rsidRPr="009F303B">
        <w:rPr>
          <w:b/>
        </w:rPr>
        <w:br/>
      </w:r>
      <w:r>
        <w:t>Llewellyn Reynders,</w:t>
      </w:r>
      <w:r w:rsidRPr="00B54256">
        <w:t xml:space="preserve"> </w:t>
      </w:r>
      <w:r>
        <w:t>Policy and Programs Manager</w:t>
      </w:r>
      <w:r w:rsidRPr="001607B4">
        <w:br/>
      </w:r>
      <w:r>
        <w:t>llewellyn.reynders</w:t>
      </w:r>
      <w:r w:rsidRPr="001607B4">
        <w:t>@vcoss.org.au</w:t>
      </w:r>
    </w:p>
    <w:p w14:paraId="24181133" w14:textId="77777777" w:rsidR="004F4976" w:rsidRDefault="004F4976" w:rsidP="004F4976">
      <w:pPr>
        <w:pStyle w:val="Abouttext"/>
      </w:pPr>
      <w:r w:rsidRPr="00795AFD">
        <w:t xml:space="preserve">VCOSS </w:t>
      </w:r>
      <w:r>
        <w:t>a</w:t>
      </w:r>
      <w:r w:rsidRPr="00795AFD">
        <w:t>cknowledges the tradi</w:t>
      </w:r>
      <w:r>
        <w:t>ti</w:t>
      </w:r>
      <w:r w:rsidRPr="00795AFD">
        <w:t>onal owners of country and pays its respects to Elders past and present.</w:t>
      </w:r>
    </w:p>
    <w:p w14:paraId="4A588B12" w14:textId="77777777" w:rsidR="004F4976" w:rsidRDefault="004F4976" w:rsidP="004F4976">
      <w:pPr>
        <w:pStyle w:val="Aboutdetails"/>
        <w:sectPr w:rsidR="004F4976" w:rsidSect="00965DDD">
          <w:pgSz w:w="11900" w:h="16840"/>
          <w:pgMar w:top="0" w:right="0" w:bottom="0" w:left="0" w:header="0" w:footer="0" w:gutter="0"/>
          <w:cols w:space="708"/>
          <w:docGrid w:linePitch="360"/>
        </w:sectPr>
      </w:pPr>
    </w:p>
    <w:p w14:paraId="3BC8432A" w14:textId="0CC567B8" w:rsidR="009E736B" w:rsidRPr="00147D38" w:rsidRDefault="009E736B" w:rsidP="00ED2AB3">
      <w:pPr>
        <w:pStyle w:val="Heading1"/>
      </w:pPr>
      <w:bookmarkStart w:id="0" w:name="_Toc476310178"/>
      <w:r w:rsidRPr="00147D38">
        <w:lastRenderedPageBreak/>
        <w:t>Contents</w:t>
      </w:r>
      <w:bookmarkEnd w:id="0"/>
    </w:p>
    <w:p w14:paraId="7C843186" w14:textId="66E3BAC0" w:rsidR="00CA760E" w:rsidRDefault="009E736B" w:rsidP="004E2C9E">
      <w:pPr>
        <w:pStyle w:val="TOC1"/>
        <w:tabs>
          <w:tab w:val="right" w:leader="dot" w:pos="9622"/>
        </w:tabs>
        <w:spacing w:line="288" w:lineRule="auto"/>
        <w:rPr>
          <w:rFonts w:asciiTheme="minorHAnsi" w:hAnsiTheme="minorHAnsi" w:cstheme="minorBidi"/>
          <w:noProof/>
          <w:szCs w:val="22"/>
          <w:lang w:val="en-AU" w:eastAsia="en-AU"/>
        </w:rPr>
      </w:pPr>
      <w:r>
        <w:fldChar w:fldCharType="begin"/>
      </w:r>
      <w:r>
        <w:instrText xml:space="preserve"> TOC \o "1-2" \h \z \u </w:instrText>
      </w:r>
      <w:r>
        <w:fldChar w:fldCharType="separate"/>
      </w:r>
      <w:hyperlink w:anchor="_Toc476310179" w:history="1">
        <w:r w:rsidR="00CA760E" w:rsidRPr="000A761A">
          <w:rPr>
            <w:rStyle w:val="Hyperlink"/>
            <w:noProof/>
          </w:rPr>
          <w:t>Introduction</w:t>
        </w:r>
        <w:r w:rsidR="00CA760E">
          <w:rPr>
            <w:noProof/>
            <w:webHidden/>
          </w:rPr>
          <w:tab/>
        </w:r>
        <w:r w:rsidR="00CA760E">
          <w:rPr>
            <w:noProof/>
            <w:webHidden/>
          </w:rPr>
          <w:fldChar w:fldCharType="begin"/>
        </w:r>
        <w:r w:rsidR="00CA760E">
          <w:rPr>
            <w:noProof/>
            <w:webHidden/>
          </w:rPr>
          <w:instrText xml:space="preserve"> PAGEREF _Toc476310179 \h </w:instrText>
        </w:r>
        <w:r w:rsidR="00CA760E">
          <w:rPr>
            <w:noProof/>
            <w:webHidden/>
          </w:rPr>
        </w:r>
        <w:r w:rsidR="00CA760E">
          <w:rPr>
            <w:noProof/>
            <w:webHidden/>
          </w:rPr>
          <w:fldChar w:fldCharType="separate"/>
        </w:r>
        <w:r w:rsidR="00483983">
          <w:rPr>
            <w:noProof/>
            <w:webHidden/>
          </w:rPr>
          <w:t>2</w:t>
        </w:r>
        <w:r w:rsidR="00CA760E">
          <w:rPr>
            <w:noProof/>
            <w:webHidden/>
          </w:rPr>
          <w:fldChar w:fldCharType="end"/>
        </w:r>
      </w:hyperlink>
    </w:p>
    <w:p w14:paraId="766CE7B9"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80" w:history="1">
        <w:r w:rsidR="00CA760E" w:rsidRPr="000A761A">
          <w:rPr>
            <w:rStyle w:val="Hyperlink"/>
            <w:noProof/>
          </w:rPr>
          <w:t>Youth offending is low and declining</w:t>
        </w:r>
        <w:r w:rsidR="00CA760E">
          <w:rPr>
            <w:noProof/>
            <w:webHidden/>
          </w:rPr>
          <w:tab/>
        </w:r>
        <w:r w:rsidR="00CA760E">
          <w:rPr>
            <w:noProof/>
            <w:webHidden/>
          </w:rPr>
          <w:fldChar w:fldCharType="begin"/>
        </w:r>
        <w:r w:rsidR="00CA760E">
          <w:rPr>
            <w:noProof/>
            <w:webHidden/>
          </w:rPr>
          <w:instrText xml:space="preserve"> PAGEREF _Toc476310180 \h </w:instrText>
        </w:r>
        <w:r w:rsidR="00CA760E">
          <w:rPr>
            <w:noProof/>
            <w:webHidden/>
          </w:rPr>
        </w:r>
        <w:r w:rsidR="00CA760E">
          <w:rPr>
            <w:noProof/>
            <w:webHidden/>
          </w:rPr>
          <w:fldChar w:fldCharType="separate"/>
        </w:r>
        <w:r w:rsidR="00483983">
          <w:rPr>
            <w:noProof/>
            <w:webHidden/>
          </w:rPr>
          <w:t>2</w:t>
        </w:r>
        <w:r w:rsidR="00CA760E">
          <w:rPr>
            <w:noProof/>
            <w:webHidden/>
          </w:rPr>
          <w:fldChar w:fldCharType="end"/>
        </w:r>
      </w:hyperlink>
    </w:p>
    <w:p w14:paraId="4B02A2C3"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81" w:history="1">
        <w:r w:rsidR="00CA760E" w:rsidRPr="000A761A">
          <w:rPr>
            <w:rStyle w:val="Hyperlink"/>
            <w:noProof/>
          </w:rPr>
          <w:t>Punitive measures are not effective</w:t>
        </w:r>
        <w:r w:rsidR="00CA760E">
          <w:rPr>
            <w:noProof/>
            <w:webHidden/>
          </w:rPr>
          <w:tab/>
        </w:r>
        <w:r w:rsidR="00CA760E">
          <w:rPr>
            <w:noProof/>
            <w:webHidden/>
          </w:rPr>
          <w:fldChar w:fldCharType="begin"/>
        </w:r>
        <w:r w:rsidR="00CA760E">
          <w:rPr>
            <w:noProof/>
            <w:webHidden/>
          </w:rPr>
          <w:instrText xml:space="preserve"> PAGEREF _Toc476310181 \h </w:instrText>
        </w:r>
        <w:r w:rsidR="00CA760E">
          <w:rPr>
            <w:noProof/>
            <w:webHidden/>
          </w:rPr>
        </w:r>
        <w:r w:rsidR="00CA760E">
          <w:rPr>
            <w:noProof/>
            <w:webHidden/>
          </w:rPr>
          <w:fldChar w:fldCharType="separate"/>
        </w:r>
        <w:r w:rsidR="00483983">
          <w:rPr>
            <w:noProof/>
            <w:webHidden/>
          </w:rPr>
          <w:t>3</w:t>
        </w:r>
        <w:r w:rsidR="00CA760E">
          <w:rPr>
            <w:noProof/>
            <w:webHidden/>
          </w:rPr>
          <w:fldChar w:fldCharType="end"/>
        </w:r>
      </w:hyperlink>
    </w:p>
    <w:p w14:paraId="3F2AE4BD"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82" w:history="1">
        <w:r w:rsidR="00CA760E" w:rsidRPr="000A761A">
          <w:rPr>
            <w:rStyle w:val="Hyperlink"/>
            <w:noProof/>
          </w:rPr>
          <w:t>Young offenders are highly disadvantaged</w:t>
        </w:r>
        <w:r w:rsidR="00CA760E">
          <w:rPr>
            <w:noProof/>
            <w:webHidden/>
          </w:rPr>
          <w:tab/>
        </w:r>
        <w:r w:rsidR="00CA760E">
          <w:rPr>
            <w:noProof/>
            <w:webHidden/>
          </w:rPr>
          <w:fldChar w:fldCharType="begin"/>
        </w:r>
        <w:r w:rsidR="00CA760E">
          <w:rPr>
            <w:noProof/>
            <w:webHidden/>
          </w:rPr>
          <w:instrText xml:space="preserve"> PAGEREF _Toc476310182 \h </w:instrText>
        </w:r>
        <w:r w:rsidR="00CA760E">
          <w:rPr>
            <w:noProof/>
            <w:webHidden/>
          </w:rPr>
        </w:r>
        <w:r w:rsidR="00CA760E">
          <w:rPr>
            <w:noProof/>
            <w:webHidden/>
          </w:rPr>
          <w:fldChar w:fldCharType="separate"/>
        </w:r>
        <w:r w:rsidR="00483983">
          <w:rPr>
            <w:noProof/>
            <w:webHidden/>
          </w:rPr>
          <w:t>4</w:t>
        </w:r>
        <w:r w:rsidR="00CA760E">
          <w:rPr>
            <w:noProof/>
            <w:webHidden/>
          </w:rPr>
          <w:fldChar w:fldCharType="end"/>
        </w:r>
      </w:hyperlink>
    </w:p>
    <w:p w14:paraId="6B95EE97"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83" w:history="1">
        <w:r w:rsidR="00CA760E" w:rsidRPr="000A761A">
          <w:rPr>
            <w:rStyle w:val="Hyperlink"/>
            <w:noProof/>
          </w:rPr>
          <w:t>Take a long-term, evidence-based approach</w:t>
        </w:r>
        <w:r w:rsidR="00CA760E">
          <w:rPr>
            <w:noProof/>
            <w:webHidden/>
          </w:rPr>
          <w:tab/>
        </w:r>
        <w:r w:rsidR="00CA760E">
          <w:rPr>
            <w:noProof/>
            <w:webHidden/>
          </w:rPr>
          <w:fldChar w:fldCharType="begin"/>
        </w:r>
        <w:r w:rsidR="00CA760E">
          <w:rPr>
            <w:noProof/>
            <w:webHidden/>
          </w:rPr>
          <w:instrText xml:space="preserve"> PAGEREF _Toc476310183 \h </w:instrText>
        </w:r>
        <w:r w:rsidR="00CA760E">
          <w:rPr>
            <w:noProof/>
            <w:webHidden/>
          </w:rPr>
        </w:r>
        <w:r w:rsidR="00CA760E">
          <w:rPr>
            <w:noProof/>
            <w:webHidden/>
          </w:rPr>
          <w:fldChar w:fldCharType="separate"/>
        </w:r>
        <w:r w:rsidR="00483983">
          <w:rPr>
            <w:noProof/>
            <w:webHidden/>
          </w:rPr>
          <w:t>5</w:t>
        </w:r>
        <w:r w:rsidR="00CA760E">
          <w:rPr>
            <w:noProof/>
            <w:webHidden/>
          </w:rPr>
          <w:fldChar w:fldCharType="end"/>
        </w:r>
      </w:hyperlink>
    </w:p>
    <w:p w14:paraId="71EEFF14" w14:textId="77777777" w:rsidR="00CA760E" w:rsidRDefault="007A7B40" w:rsidP="004E2C9E">
      <w:pPr>
        <w:pStyle w:val="TOC1"/>
        <w:tabs>
          <w:tab w:val="right" w:leader="dot" w:pos="9622"/>
        </w:tabs>
        <w:spacing w:line="288" w:lineRule="auto"/>
        <w:rPr>
          <w:rFonts w:asciiTheme="minorHAnsi" w:hAnsiTheme="minorHAnsi" w:cstheme="minorBidi"/>
          <w:noProof/>
          <w:szCs w:val="22"/>
          <w:lang w:val="en-AU" w:eastAsia="en-AU"/>
        </w:rPr>
      </w:pPr>
      <w:hyperlink w:anchor="_Toc476310184" w:history="1">
        <w:r w:rsidR="00CA760E" w:rsidRPr="000A761A">
          <w:rPr>
            <w:rStyle w:val="Hyperlink"/>
            <w:noProof/>
          </w:rPr>
          <w:t>Recommendations</w:t>
        </w:r>
        <w:r w:rsidR="00CA760E">
          <w:rPr>
            <w:noProof/>
            <w:webHidden/>
          </w:rPr>
          <w:tab/>
        </w:r>
        <w:r w:rsidR="00CA760E">
          <w:rPr>
            <w:noProof/>
            <w:webHidden/>
          </w:rPr>
          <w:fldChar w:fldCharType="begin"/>
        </w:r>
        <w:r w:rsidR="00CA760E">
          <w:rPr>
            <w:noProof/>
            <w:webHidden/>
          </w:rPr>
          <w:instrText xml:space="preserve"> PAGEREF _Toc476310184 \h </w:instrText>
        </w:r>
        <w:r w:rsidR="00CA760E">
          <w:rPr>
            <w:noProof/>
            <w:webHidden/>
          </w:rPr>
        </w:r>
        <w:r w:rsidR="00CA760E">
          <w:rPr>
            <w:noProof/>
            <w:webHidden/>
          </w:rPr>
          <w:fldChar w:fldCharType="separate"/>
        </w:r>
        <w:r w:rsidR="00483983">
          <w:rPr>
            <w:noProof/>
            <w:webHidden/>
          </w:rPr>
          <w:t>6</w:t>
        </w:r>
        <w:r w:rsidR="00CA760E">
          <w:rPr>
            <w:noProof/>
            <w:webHidden/>
          </w:rPr>
          <w:fldChar w:fldCharType="end"/>
        </w:r>
      </w:hyperlink>
    </w:p>
    <w:p w14:paraId="78BC9594" w14:textId="77777777" w:rsidR="00CA760E" w:rsidRDefault="007A7B40" w:rsidP="004E2C9E">
      <w:pPr>
        <w:pStyle w:val="TOC1"/>
        <w:tabs>
          <w:tab w:val="right" w:leader="dot" w:pos="9622"/>
        </w:tabs>
        <w:spacing w:line="288" w:lineRule="auto"/>
        <w:rPr>
          <w:rFonts w:asciiTheme="minorHAnsi" w:hAnsiTheme="minorHAnsi" w:cstheme="minorBidi"/>
          <w:noProof/>
          <w:szCs w:val="22"/>
          <w:lang w:val="en-AU" w:eastAsia="en-AU"/>
        </w:rPr>
      </w:pPr>
      <w:hyperlink w:anchor="_Toc476310185" w:history="1">
        <w:r w:rsidR="00CA760E" w:rsidRPr="000A761A">
          <w:rPr>
            <w:rStyle w:val="Hyperlink"/>
            <w:noProof/>
          </w:rPr>
          <w:t>Better care in youth justice centres</w:t>
        </w:r>
        <w:r w:rsidR="00CA760E">
          <w:rPr>
            <w:noProof/>
            <w:webHidden/>
          </w:rPr>
          <w:tab/>
        </w:r>
        <w:r w:rsidR="00CA760E">
          <w:rPr>
            <w:noProof/>
            <w:webHidden/>
          </w:rPr>
          <w:fldChar w:fldCharType="begin"/>
        </w:r>
        <w:r w:rsidR="00CA760E">
          <w:rPr>
            <w:noProof/>
            <w:webHidden/>
          </w:rPr>
          <w:instrText xml:space="preserve"> PAGEREF _Toc476310185 \h </w:instrText>
        </w:r>
        <w:r w:rsidR="00CA760E">
          <w:rPr>
            <w:noProof/>
            <w:webHidden/>
          </w:rPr>
        </w:r>
        <w:r w:rsidR="00CA760E">
          <w:rPr>
            <w:noProof/>
            <w:webHidden/>
          </w:rPr>
          <w:fldChar w:fldCharType="separate"/>
        </w:r>
        <w:r w:rsidR="00483983">
          <w:rPr>
            <w:noProof/>
            <w:webHidden/>
          </w:rPr>
          <w:t>8</w:t>
        </w:r>
        <w:r w:rsidR="00CA760E">
          <w:rPr>
            <w:noProof/>
            <w:webHidden/>
          </w:rPr>
          <w:fldChar w:fldCharType="end"/>
        </w:r>
      </w:hyperlink>
    </w:p>
    <w:p w14:paraId="75C33D95"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86" w:history="1">
        <w:r w:rsidR="00CA760E" w:rsidRPr="000A761A">
          <w:rPr>
            <w:rStyle w:val="Hyperlink"/>
            <w:noProof/>
          </w:rPr>
          <w:t>Transfer young people out of Barwon’s adult prison immediately</w:t>
        </w:r>
        <w:r w:rsidR="00CA760E">
          <w:rPr>
            <w:noProof/>
            <w:webHidden/>
          </w:rPr>
          <w:tab/>
        </w:r>
        <w:r w:rsidR="00CA760E">
          <w:rPr>
            <w:noProof/>
            <w:webHidden/>
          </w:rPr>
          <w:fldChar w:fldCharType="begin"/>
        </w:r>
        <w:r w:rsidR="00CA760E">
          <w:rPr>
            <w:noProof/>
            <w:webHidden/>
          </w:rPr>
          <w:instrText xml:space="preserve"> PAGEREF _Toc476310186 \h </w:instrText>
        </w:r>
        <w:r w:rsidR="00CA760E">
          <w:rPr>
            <w:noProof/>
            <w:webHidden/>
          </w:rPr>
        </w:r>
        <w:r w:rsidR="00CA760E">
          <w:rPr>
            <w:noProof/>
            <w:webHidden/>
          </w:rPr>
          <w:fldChar w:fldCharType="separate"/>
        </w:r>
        <w:r w:rsidR="00483983">
          <w:rPr>
            <w:noProof/>
            <w:webHidden/>
          </w:rPr>
          <w:t>8</w:t>
        </w:r>
        <w:r w:rsidR="00CA760E">
          <w:rPr>
            <w:noProof/>
            <w:webHidden/>
          </w:rPr>
          <w:fldChar w:fldCharType="end"/>
        </w:r>
      </w:hyperlink>
    </w:p>
    <w:p w14:paraId="5E1E6FD8"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87" w:history="1">
        <w:r w:rsidR="00CA760E" w:rsidRPr="000A761A">
          <w:rPr>
            <w:rStyle w:val="Hyperlink"/>
            <w:noProof/>
          </w:rPr>
          <w:t>Use detention as a last resort</w:t>
        </w:r>
        <w:r w:rsidR="00CA760E">
          <w:rPr>
            <w:noProof/>
            <w:webHidden/>
          </w:rPr>
          <w:tab/>
        </w:r>
        <w:r w:rsidR="00CA760E">
          <w:rPr>
            <w:noProof/>
            <w:webHidden/>
          </w:rPr>
          <w:fldChar w:fldCharType="begin"/>
        </w:r>
        <w:r w:rsidR="00CA760E">
          <w:rPr>
            <w:noProof/>
            <w:webHidden/>
          </w:rPr>
          <w:instrText xml:space="preserve"> PAGEREF _Toc476310187 \h </w:instrText>
        </w:r>
        <w:r w:rsidR="00CA760E">
          <w:rPr>
            <w:noProof/>
            <w:webHidden/>
          </w:rPr>
        </w:r>
        <w:r w:rsidR="00CA760E">
          <w:rPr>
            <w:noProof/>
            <w:webHidden/>
          </w:rPr>
          <w:fldChar w:fldCharType="separate"/>
        </w:r>
        <w:r w:rsidR="00483983">
          <w:rPr>
            <w:noProof/>
            <w:webHidden/>
          </w:rPr>
          <w:t>9</w:t>
        </w:r>
        <w:r w:rsidR="00CA760E">
          <w:rPr>
            <w:noProof/>
            <w:webHidden/>
          </w:rPr>
          <w:fldChar w:fldCharType="end"/>
        </w:r>
      </w:hyperlink>
    </w:p>
    <w:p w14:paraId="50B58EE7"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88" w:history="1">
        <w:r w:rsidR="00CA760E" w:rsidRPr="000A761A">
          <w:rPr>
            <w:rStyle w:val="Hyperlink"/>
            <w:noProof/>
          </w:rPr>
          <w:t>Provide a therapeutic model of care</w:t>
        </w:r>
        <w:r w:rsidR="00CA760E">
          <w:rPr>
            <w:noProof/>
            <w:webHidden/>
          </w:rPr>
          <w:tab/>
        </w:r>
        <w:r w:rsidR="00CA760E">
          <w:rPr>
            <w:noProof/>
            <w:webHidden/>
          </w:rPr>
          <w:fldChar w:fldCharType="begin"/>
        </w:r>
        <w:r w:rsidR="00CA760E">
          <w:rPr>
            <w:noProof/>
            <w:webHidden/>
          </w:rPr>
          <w:instrText xml:space="preserve"> PAGEREF _Toc476310188 \h </w:instrText>
        </w:r>
        <w:r w:rsidR="00CA760E">
          <w:rPr>
            <w:noProof/>
            <w:webHidden/>
          </w:rPr>
        </w:r>
        <w:r w:rsidR="00CA760E">
          <w:rPr>
            <w:noProof/>
            <w:webHidden/>
          </w:rPr>
          <w:fldChar w:fldCharType="separate"/>
        </w:r>
        <w:r w:rsidR="00483983">
          <w:rPr>
            <w:noProof/>
            <w:webHidden/>
          </w:rPr>
          <w:t>9</w:t>
        </w:r>
        <w:r w:rsidR="00CA760E">
          <w:rPr>
            <w:noProof/>
            <w:webHidden/>
          </w:rPr>
          <w:fldChar w:fldCharType="end"/>
        </w:r>
      </w:hyperlink>
    </w:p>
    <w:p w14:paraId="60382129"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89" w:history="1">
        <w:r w:rsidR="00CA760E" w:rsidRPr="000A761A">
          <w:rPr>
            <w:rStyle w:val="Hyperlink"/>
            <w:noProof/>
          </w:rPr>
          <w:t>Undertake comprehensive assessment and provide personalised support</w:t>
        </w:r>
        <w:r w:rsidR="00CA760E">
          <w:rPr>
            <w:noProof/>
            <w:webHidden/>
          </w:rPr>
          <w:tab/>
        </w:r>
        <w:r w:rsidR="00CA760E">
          <w:rPr>
            <w:noProof/>
            <w:webHidden/>
          </w:rPr>
          <w:fldChar w:fldCharType="begin"/>
        </w:r>
        <w:r w:rsidR="00CA760E">
          <w:rPr>
            <w:noProof/>
            <w:webHidden/>
          </w:rPr>
          <w:instrText xml:space="preserve"> PAGEREF _Toc476310189 \h </w:instrText>
        </w:r>
        <w:r w:rsidR="00CA760E">
          <w:rPr>
            <w:noProof/>
            <w:webHidden/>
          </w:rPr>
        </w:r>
        <w:r w:rsidR="00CA760E">
          <w:rPr>
            <w:noProof/>
            <w:webHidden/>
          </w:rPr>
          <w:fldChar w:fldCharType="separate"/>
        </w:r>
        <w:r w:rsidR="00483983">
          <w:rPr>
            <w:noProof/>
            <w:webHidden/>
          </w:rPr>
          <w:t>11</w:t>
        </w:r>
        <w:r w:rsidR="00CA760E">
          <w:rPr>
            <w:noProof/>
            <w:webHidden/>
          </w:rPr>
          <w:fldChar w:fldCharType="end"/>
        </w:r>
      </w:hyperlink>
    </w:p>
    <w:p w14:paraId="645D1BA7"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90" w:history="1">
        <w:r w:rsidR="00CA760E" w:rsidRPr="000A761A">
          <w:rPr>
            <w:rStyle w:val="Hyperlink"/>
            <w:noProof/>
          </w:rPr>
          <w:t>Maintain education access</w:t>
        </w:r>
        <w:r w:rsidR="00CA760E">
          <w:rPr>
            <w:noProof/>
            <w:webHidden/>
          </w:rPr>
          <w:tab/>
        </w:r>
        <w:r w:rsidR="00CA760E">
          <w:rPr>
            <w:noProof/>
            <w:webHidden/>
          </w:rPr>
          <w:fldChar w:fldCharType="begin"/>
        </w:r>
        <w:r w:rsidR="00CA760E">
          <w:rPr>
            <w:noProof/>
            <w:webHidden/>
          </w:rPr>
          <w:instrText xml:space="preserve"> PAGEREF _Toc476310190 \h </w:instrText>
        </w:r>
        <w:r w:rsidR="00CA760E">
          <w:rPr>
            <w:noProof/>
            <w:webHidden/>
          </w:rPr>
        </w:r>
        <w:r w:rsidR="00CA760E">
          <w:rPr>
            <w:noProof/>
            <w:webHidden/>
          </w:rPr>
          <w:fldChar w:fldCharType="separate"/>
        </w:r>
        <w:r w:rsidR="00483983">
          <w:rPr>
            <w:noProof/>
            <w:webHidden/>
          </w:rPr>
          <w:t>11</w:t>
        </w:r>
        <w:r w:rsidR="00CA760E">
          <w:rPr>
            <w:noProof/>
            <w:webHidden/>
          </w:rPr>
          <w:fldChar w:fldCharType="end"/>
        </w:r>
      </w:hyperlink>
    </w:p>
    <w:p w14:paraId="62FAB5E0"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91" w:history="1">
        <w:r w:rsidR="00CA760E" w:rsidRPr="000A761A">
          <w:rPr>
            <w:rStyle w:val="Hyperlink"/>
            <w:noProof/>
          </w:rPr>
          <w:t>Improve staff capacity and capabilities</w:t>
        </w:r>
        <w:r w:rsidR="00CA760E">
          <w:rPr>
            <w:noProof/>
            <w:webHidden/>
          </w:rPr>
          <w:tab/>
        </w:r>
        <w:r w:rsidR="00CA760E">
          <w:rPr>
            <w:noProof/>
            <w:webHidden/>
          </w:rPr>
          <w:fldChar w:fldCharType="begin"/>
        </w:r>
        <w:r w:rsidR="00CA760E">
          <w:rPr>
            <w:noProof/>
            <w:webHidden/>
          </w:rPr>
          <w:instrText xml:space="preserve"> PAGEREF _Toc476310191 \h </w:instrText>
        </w:r>
        <w:r w:rsidR="00CA760E">
          <w:rPr>
            <w:noProof/>
            <w:webHidden/>
          </w:rPr>
        </w:r>
        <w:r w:rsidR="00CA760E">
          <w:rPr>
            <w:noProof/>
            <w:webHidden/>
          </w:rPr>
          <w:fldChar w:fldCharType="separate"/>
        </w:r>
        <w:r w:rsidR="00483983">
          <w:rPr>
            <w:noProof/>
            <w:webHidden/>
          </w:rPr>
          <w:t>12</w:t>
        </w:r>
        <w:r w:rsidR="00CA760E">
          <w:rPr>
            <w:noProof/>
            <w:webHidden/>
          </w:rPr>
          <w:fldChar w:fldCharType="end"/>
        </w:r>
      </w:hyperlink>
    </w:p>
    <w:p w14:paraId="472034E8"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92" w:history="1">
        <w:r w:rsidR="00CA760E" w:rsidRPr="000A761A">
          <w:rPr>
            <w:rStyle w:val="Hyperlink"/>
            <w:noProof/>
          </w:rPr>
          <w:t>Use isolation as a last resort only</w:t>
        </w:r>
        <w:r w:rsidR="00CA760E">
          <w:rPr>
            <w:noProof/>
            <w:webHidden/>
          </w:rPr>
          <w:tab/>
        </w:r>
        <w:r w:rsidR="00CA760E">
          <w:rPr>
            <w:noProof/>
            <w:webHidden/>
          </w:rPr>
          <w:fldChar w:fldCharType="begin"/>
        </w:r>
        <w:r w:rsidR="00CA760E">
          <w:rPr>
            <w:noProof/>
            <w:webHidden/>
          </w:rPr>
          <w:instrText xml:space="preserve"> PAGEREF _Toc476310192 \h </w:instrText>
        </w:r>
        <w:r w:rsidR="00CA760E">
          <w:rPr>
            <w:noProof/>
            <w:webHidden/>
          </w:rPr>
        </w:r>
        <w:r w:rsidR="00CA760E">
          <w:rPr>
            <w:noProof/>
            <w:webHidden/>
          </w:rPr>
          <w:fldChar w:fldCharType="separate"/>
        </w:r>
        <w:r w:rsidR="00483983">
          <w:rPr>
            <w:noProof/>
            <w:webHidden/>
          </w:rPr>
          <w:t>13</w:t>
        </w:r>
        <w:r w:rsidR="00CA760E">
          <w:rPr>
            <w:noProof/>
            <w:webHidden/>
          </w:rPr>
          <w:fldChar w:fldCharType="end"/>
        </w:r>
      </w:hyperlink>
    </w:p>
    <w:p w14:paraId="399A7CA7"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93" w:history="1">
        <w:r w:rsidR="00CA760E" w:rsidRPr="000A761A">
          <w:rPr>
            <w:rStyle w:val="Hyperlink"/>
            <w:noProof/>
          </w:rPr>
          <w:t>Provide a suitable physical environment</w:t>
        </w:r>
        <w:r w:rsidR="00CA760E">
          <w:rPr>
            <w:noProof/>
            <w:webHidden/>
          </w:rPr>
          <w:tab/>
        </w:r>
        <w:r w:rsidR="00CA760E">
          <w:rPr>
            <w:noProof/>
            <w:webHidden/>
          </w:rPr>
          <w:fldChar w:fldCharType="begin"/>
        </w:r>
        <w:r w:rsidR="00CA760E">
          <w:rPr>
            <w:noProof/>
            <w:webHidden/>
          </w:rPr>
          <w:instrText xml:space="preserve"> PAGEREF _Toc476310193 \h </w:instrText>
        </w:r>
        <w:r w:rsidR="00CA760E">
          <w:rPr>
            <w:noProof/>
            <w:webHidden/>
          </w:rPr>
        </w:r>
        <w:r w:rsidR="00CA760E">
          <w:rPr>
            <w:noProof/>
            <w:webHidden/>
          </w:rPr>
          <w:fldChar w:fldCharType="separate"/>
        </w:r>
        <w:r w:rsidR="00483983">
          <w:rPr>
            <w:noProof/>
            <w:webHidden/>
          </w:rPr>
          <w:t>14</w:t>
        </w:r>
        <w:r w:rsidR="00CA760E">
          <w:rPr>
            <w:noProof/>
            <w:webHidden/>
          </w:rPr>
          <w:fldChar w:fldCharType="end"/>
        </w:r>
      </w:hyperlink>
    </w:p>
    <w:p w14:paraId="76ACDA5F"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94" w:history="1">
        <w:r w:rsidR="00CA760E" w:rsidRPr="000A761A">
          <w:rPr>
            <w:rStyle w:val="Hyperlink"/>
            <w:noProof/>
          </w:rPr>
          <w:t>Provide adequate post-care support to all young people</w:t>
        </w:r>
        <w:r w:rsidR="00CA760E">
          <w:rPr>
            <w:noProof/>
            <w:webHidden/>
          </w:rPr>
          <w:tab/>
        </w:r>
        <w:r w:rsidR="00CA760E">
          <w:rPr>
            <w:noProof/>
            <w:webHidden/>
          </w:rPr>
          <w:fldChar w:fldCharType="begin"/>
        </w:r>
        <w:r w:rsidR="00CA760E">
          <w:rPr>
            <w:noProof/>
            <w:webHidden/>
          </w:rPr>
          <w:instrText xml:space="preserve"> PAGEREF _Toc476310194 \h </w:instrText>
        </w:r>
        <w:r w:rsidR="00CA760E">
          <w:rPr>
            <w:noProof/>
            <w:webHidden/>
          </w:rPr>
        </w:r>
        <w:r w:rsidR="00CA760E">
          <w:rPr>
            <w:noProof/>
            <w:webHidden/>
          </w:rPr>
          <w:fldChar w:fldCharType="separate"/>
        </w:r>
        <w:r w:rsidR="00483983">
          <w:rPr>
            <w:noProof/>
            <w:webHidden/>
          </w:rPr>
          <w:t>15</w:t>
        </w:r>
        <w:r w:rsidR="00CA760E">
          <w:rPr>
            <w:noProof/>
            <w:webHidden/>
          </w:rPr>
          <w:fldChar w:fldCharType="end"/>
        </w:r>
      </w:hyperlink>
    </w:p>
    <w:p w14:paraId="60426832" w14:textId="77777777" w:rsidR="00CA760E" w:rsidRDefault="007A7B40" w:rsidP="004E2C9E">
      <w:pPr>
        <w:pStyle w:val="TOC1"/>
        <w:tabs>
          <w:tab w:val="right" w:leader="dot" w:pos="9622"/>
        </w:tabs>
        <w:spacing w:line="288" w:lineRule="auto"/>
        <w:rPr>
          <w:rFonts w:asciiTheme="minorHAnsi" w:hAnsiTheme="minorHAnsi" w:cstheme="minorBidi"/>
          <w:noProof/>
          <w:szCs w:val="22"/>
          <w:lang w:val="en-AU" w:eastAsia="en-AU"/>
        </w:rPr>
      </w:pPr>
      <w:hyperlink w:anchor="_Toc476310195" w:history="1">
        <w:r w:rsidR="00CA760E" w:rsidRPr="000A761A">
          <w:rPr>
            <w:rStyle w:val="Hyperlink"/>
            <w:noProof/>
          </w:rPr>
          <w:t>Children and young people need a specialised youth justice system</w:t>
        </w:r>
        <w:r w:rsidR="00CA760E">
          <w:rPr>
            <w:noProof/>
            <w:webHidden/>
          </w:rPr>
          <w:tab/>
        </w:r>
        <w:r w:rsidR="00CA760E">
          <w:rPr>
            <w:noProof/>
            <w:webHidden/>
          </w:rPr>
          <w:fldChar w:fldCharType="begin"/>
        </w:r>
        <w:r w:rsidR="00CA760E">
          <w:rPr>
            <w:noProof/>
            <w:webHidden/>
          </w:rPr>
          <w:instrText xml:space="preserve"> PAGEREF _Toc476310195 \h </w:instrText>
        </w:r>
        <w:r w:rsidR="00CA760E">
          <w:rPr>
            <w:noProof/>
            <w:webHidden/>
          </w:rPr>
        </w:r>
        <w:r w:rsidR="00CA760E">
          <w:rPr>
            <w:noProof/>
            <w:webHidden/>
          </w:rPr>
          <w:fldChar w:fldCharType="separate"/>
        </w:r>
        <w:r w:rsidR="00483983">
          <w:rPr>
            <w:noProof/>
            <w:webHidden/>
          </w:rPr>
          <w:t>16</w:t>
        </w:r>
        <w:r w:rsidR="00CA760E">
          <w:rPr>
            <w:noProof/>
            <w:webHidden/>
          </w:rPr>
          <w:fldChar w:fldCharType="end"/>
        </w:r>
      </w:hyperlink>
    </w:p>
    <w:p w14:paraId="6EA41F67"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96" w:history="1">
        <w:r w:rsidR="00CA760E" w:rsidRPr="000A761A">
          <w:rPr>
            <w:rStyle w:val="Hyperlink"/>
            <w:noProof/>
          </w:rPr>
          <w:t>Retain a separate justice system for children and young people</w:t>
        </w:r>
        <w:r w:rsidR="00CA760E">
          <w:rPr>
            <w:noProof/>
            <w:webHidden/>
          </w:rPr>
          <w:tab/>
        </w:r>
        <w:r w:rsidR="00CA760E">
          <w:rPr>
            <w:noProof/>
            <w:webHidden/>
          </w:rPr>
          <w:fldChar w:fldCharType="begin"/>
        </w:r>
        <w:r w:rsidR="00CA760E">
          <w:rPr>
            <w:noProof/>
            <w:webHidden/>
          </w:rPr>
          <w:instrText xml:space="preserve"> PAGEREF _Toc476310196 \h </w:instrText>
        </w:r>
        <w:r w:rsidR="00CA760E">
          <w:rPr>
            <w:noProof/>
            <w:webHidden/>
          </w:rPr>
        </w:r>
        <w:r w:rsidR="00CA760E">
          <w:rPr>
            <w:noProof/>
            <w:webHidden/>
          </w:rPr>
          <w:fldChar w:fldCharType="separate"/>
        </w:r>
        <w:r w:rsidR="00483983">
          <w:rPr>
            <w:noProof/>
            <w:webHidden/>
          </w:rPr>
          <w:t>16</w:t>
        </w:r>
        <w:r w:rsidR="00CA760E">
          <w:rPr>
            <w:noProof/>
            <w:webHidden/>
          </w:rPr>
          <w:fldChar w:fldCharType="end"/>
        </w:r>
      </w:hyperlink>
    </w:p>
    <w:p w14:paraId="29559912"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97" w:history="1">
        <w:r w:rsidR="00CA760E" w:rsidRPr="000A761A">
          <w:rPr>
            <w:rStyle w:val="Hyperlink"/>
            <w:noProof/>
          </w:rPr>
          <w:t>Raise the age of criminal responsibility</w:t>
        </w:r>
        <w:r w:rsidR="00CA760E">
          <w:rPr>
            <w:noProof/>
            <w:webHidden/>
          </w:rPr>
          <w:tab/>
        </w:r>
        <w:r w:rsidR="00CA760E">
          <w:rPr>
            <w:noProof/>
            <w:webHidden/>
          </w:rPr>
          <w:fldChar w:fldCharType="begin"/>
        </w:r>
        <w:r w:rsidR="00CA760E">
          <w:rPr>
            <w:noProof/>
            <w:webHidden/>
          </w:rPr>
          <w:instrText xml:space="preserve"> PAGEREF _Toc476310197 \h </w:instrText>
        </w:r>
        <w:r w:rsidR="00CA760E">
          <w:rPr>
            <w:noProof/>
            <w:webHidden/>
          </w:rPr>
        </w:r>
        <w:r w:rsidR="00CA760E">
          <w:rPr>
            <w:noProof/>
            <w:webHidden/>
          </w:rPr>
          <w:fldChar w:fldCharType="separate"/>
        </w:r>
        <w:r w:rsidR="00483983">
          <w:rPr>
            <w:noProof/>
            <w:webHidden/>
          </w:rPr>
          <w:t>18</w:t>
        </w:r>
        <w:r w:rsidR="00CA760E">
          <w:rPr>
            <w:noProof/>
            <w:webHidden/>
          </w:rPr>
          <w:fldChar w:fldCharType="end"/>
        </w:r>
      </w:hyperlink>
    </w:p>
    <w:p w14:paraId="53DE1BAF"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198" w:history="1">
        <w:r w:rsidR="00CA760E" w:rsidRPr="000A761A">
          <w:rPr>
            <w:rStyle w:val="Hyperlink"/>
            <w:noProof/>
          </w:rPr>
          <w:t>Given children and young people a voice</w:t>
        </w:r>
        <w:r w:rsidR="00CA760E">
          <w:rPr>
            <w:noProof/>
            <w:webHidden/>
          </w:rPr>
          <w:tab/>
        </w:r>
        <w:r w:rsidR="00CA760E">
          <w:rPr>
            <w:noProof/>
            <w:webHidden/>
          </w:rPr>
          <w:fldChar w:fldCharType="begin"/>
        </w:r>
        <w:r w:rsidR="00CA760E">
          <w:rPr>
            <w:noProof/>
            <w:webHidden/>
          </w:rPr>
          <w:instrText xml:space="preserve"> PAGEREF _Toc476310198 \h </w:instrText>
        </w:r>
        <w:r w:rsidR="00CA760E">
          <w:rPr>
            <w:noProof/>
            <w:webHidden/>
          </w:rPr>
        </w:r>
        <w:r w:rsidR="00CA760E">
          <w:rPr>
            <w:noProof/>
            <w:webHidden/>
          </w:rPr>
          <w:fldChar w:fldCharType="separate"/>
        </w:r>
        <w:r w:rsidR="00483983">
          <w:rPr>
            <w:noProof/>
            <w:webHidden/>
          </w:rPr>
          <w:t>19</w:t>
        </w:r>
        <w:r w:rsidR="00CA760E">
          <w:rPr>
            <w:noProof/>
            <w:webHidden/>
          </w:rPr>
          <w:fldChar w:fldCharType="end"/>
        </w:r>
      </w:hyperlink>
    </w:p>
    <w:p w14:paraId="0AD8E1BE" w14:textId="77777777" w:rsidR="00CA760E" w:rsidRDefault="007A7B40" w:rsidP="004E2C9E">
      <w:pPr>
        <w:pStyle w:val="TOC1"/>
        <w:tabs>
          <w:tab w:val="right" w:leader="dot" w:pos="9622"/>
        </w:tabs>
        <w:spacing w:line="288" w:lineRule="auto"/>
        <w:rPr>
          <w:rFonts w:asciiTheme="minorHAnsi" w:hAnsiTheme="minorHAnsi" w:cstheme="minorBidi"/>
          <w:noProof/>
          <w:szCs w:val="22"/>
          <w:lang w:val="en-AU" w:eastAsia="en-AU"/>
        </w:rPr>
      </w:pPr>
      <w:hyperlink w:anchor="_Toc476310199" w:history="1">
        <w:r w:rsidR="00CA760E" w:rsidRPr="000A761A">
          <w:rPr>
            <w:rStyle w:val="Hyperlink"/>
            <w:noProof/>
          </w:rPr>
          <w:t>Provide comprehensive prevention, early intervention and diversion programs</w:t>
        </w:r>
        <w:r w:rsidR="00CA760E">
          <w:rPr>
            <w:noProof/>
            <w:webHidden/>
          </w:rPr>
          <w:tab/>
        </w:r>
        <w:r w:rsidR="00CA760E">
          <w:rPr>
            <w:noProof/>
            <w:webHidden/>
          </w:rPr>
          <w:fldChar w:fldCharType="begin"/>
        </w:r>
        <w:r w:rsidR="00CA760E">
          <w:rPr>
            <w:noProof/>
            <w:webHidden/>
          </w:rPr>
          <w:instrText xml:space="preserve"> PAGEREF _Toc476310199 \h </w:instrText>
        </w:r>
        <w:r w:rsidR="00CA760E">
          <w:rPr>
            <w:noProof/>
            <w:webHidden/>
          </w:rPr>
        </w:r>
        <w:r w:rsidR="00CA760E">
          <w:rPr>
            <w:noProof/>
            <w:webHidden/>
          </w:rPr>
          <w:fldChar w:fldCharType="separate"/>
        </w:r>
        <w:r w:rsidR="00483983">
          <w:rPr>
            <w:noProof/>
            <w:webHidden/>
          </w:rPr>
          <w:t>20</w:t>
        </w:r>
        <w:r w:rsidR="00CA760E">
          <w:rPr>
            <w:noProof/>
            <w:webHidden/>
          </w:rPr>
          <w:fldChar w:fldCharType="end"/>
        </w:r>
      </w:hyperlink>
    </w:p>
    <w:p w14:paraId="3D58EF58"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200" w:history="1">
        <w:r w:rsidR="00CA760E" w:rsidRPr="000A761A">
          <w:rPr>
            <w:rStyle w:val="Hyperlink"/>
            <w:noProof/>
          </w:rPr>
          <w:t>Invest in an integrated support continuum</w:t>
        </w:r>
        <w:r w:rsidR="00CA760E">
          <w:rPr>
            <w:noProof/>
            <w:webHidden/>
          </w:rPr>
          <w:tab/>
        </w:r>
        <w:r w:rsidR="00CA760E">
          <w:rPr>
            <w:noProof/>
            <w:webHidden/>
          </w:rPr>
          <w:fldChar w:fldCharType="begin"/>
        </w:r>
        <w:r w:rsidR="00CA760E">
          <w:rPr>
            <w:noProof/>
            <w:webHidden/>
          </w:rPr>
          <w:instrText xml:space="preserve"> PAGEREF _Toc476310200 \h </w:instrText>
        </w:r>
        <w:r w:rsidR="00CA760E">
          <w:rPr>
            <w:noProof/>
            <w:webHidden/>
          </w:rPr>
        </w:r>
        <w:r w:rsidR="00CA760E">
          <w:rPr>
            <w:noProof/>
            <w:webHidden/>
          </w:rPr>
          <w:fldChar w:fldCharType="separate"/>
        </w:r>
        <w:r w:rsidR="00483983">
          <w:rPr>
            <w:noProof/>
            <w:webHidden/>
          </w:rPr>
          <w:t>20</w:t>
        </w:r>
        <w:r w:rsidR="00CA760E">
          <w:rPr>
            <w:noProof/>
            <w:webHidden/>
          </w:rPr>
          <w:fldChar w:fldCharType="end"/>
        </w:r>
      </w:hyperlink>
    </w:p>
    <w:p w14:paraId="17E2DB16"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201" w:history="1">
        <w:r w:rsidR="00CA760E" w:rsidRPr="000A761A">
          <w:rPr>
            <w:rStyle w:val="Hyperlink"/>
            <w:noProof/>
          </w:rPr>
          <w:t>Prevent crime by tackling its underlying causes</w:t>
        </w:r>
        <w:r w:rsidR="00CA760E">
          <w:rPr>
            <w:noProof/>
            <w:webHidden/>
          </w:rPr>
          <w:tab/>
        </w:r>
        <w:r w:rsidR="00CA760E">
          <w:rPr>
            <w:noProof/>
            <w:webHidden/>
          </w:rPr>
          <w:fldChar w:fldCharType="begin"/>
        </w:r>
        <w:r w:rsidR="00CA760E">
          <w:rPr>
            <w:noProof/>
            <w:webHidden/>
          </w:rPr>
          <w:instrText xml:space="preserve"> PAGEREF _Toc476310201 \h </w:instrText>
        </w:r>
        <w:r w:rsidR="00CA760E">
          <w:rPr>
            <w:noProof/>
            <w:webHidden/>
          </w:rPr>
        </w:r>
        <w:r w:rsidR="00CA760E">
          <w:rPr>
            <w:noProof/>
            <w:webHidden/>
          </w:rPr>
          <w:fldChar w:fldCharType="separate"/>
        </w:r>
        <w:r w:rsidR="00483983">
          <w:rPr>
            <w:noProof/>
            <w:webHidden/>
          </w:rPr>
          <w:t>22</w:t>
        </w:r>
        <w:r w:rsidR="00CA760E">
          <w:rPr>
            <w:noProof/>
            <w:webHidden/>
          </w:rPr>
          <w:fldChar w:fldCharType="end"/>
        </w:r>
      </w:hyperlink>
    </w:p>
    <w:p w14:paraId="74FBA5D8"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202" w:history="1">
        <w:r w:rsidR="00CA760E" w:rsidRPr="000A761A">
          <w:rPr>
            <w:rStyle w:val="Hyperlink"/>
            <w:noProof/>
          </w:rPr>
          <w:t>Divert young people from the youth justice system</w:t>
        </w:r>
        <w:r w:rsidR="00CA760E">
          <w:rPr>
            <w:noProof/>
            <w:webHidden/>
          </w:rPr>
          <w:tab/>
        </w:r>
        <w:r w:rsidR="00CA760E">
          <w:rPr>
            <w:noProof/>
            <w:webHidden/>
          </w:rPr>
          <w:fldChar w:fldCharType="begin"/>
        </w:r>
        <w:r w:rsidR="00CA760E">
          <w:rPr>
            <w:noProof/>
            <w:webHidden/>
          </w:rPr>
          <w:instrText xml:space="preserve"> PAGEREF _Toc476310202 \h </w:instrText>
        </w:r>
        <w:r w:rsidR="00CA760E">
          <w:rPr>
            <w:noProof/>
            <w:webHidden/>
          </w:rPr>
        </w:r>
        <w:r w:rsidR="00CA760E">
          <w:rPr>
            <w:noProof/>
            <w:webHidden/>
          </w:rPr>
          <w:fldChar w:fldCharType="separate"/>
        </w:r>
        <w:r w:rsidR="00483983">
          <w:rPr>
            <w:noProof/>
            <w:webHidden/>
          </w:rPr>
          <w:t>31</w:t>
        </w:r>
        <w:r w:rsidR="00CA760E">
          <w:rPr>
            <w:noProof/>
            <w:webHidden/>
          </w:rPr>
          <w:fldChar w:fldCharType="end"/>
        </w:r>
      </w:hyperlink>
    </w:p>
    <w:p w14:paraId="75163AEA" w14:textId="77777777" w:rsidR="00CA760E" w:rsidRDefault="007A7B40" w:rsidP="004E2C9E">
      <w:pPr>
        <w:pStyle w:val="TOC1"/>
        <w:tabs>
          <w:tab w:val="right" w:leader="dot" w:pos="9622"/>
        </w:tabs>
        <w:spacing w:line="288" w:lineRule="auto"/>
        <w:rPr>
          <w:rFonts w:asciiTheme="minorHAnsi" w:hAnsiTheme="minorHAnsi" w:cstheme="minorBidi"/>
          <w:noProof/>
          <w:szCs w:val="22"/>
          <w:lang w:val="en-AU" w:eastAsia="en-AU"/>
        </w:rPr>
      </w:pPr>
      <w:hyperlink w:anchor="_Toc476310203" w:history="1">
        <w:r w:rsidR="00CA760E" w:rsidRPr="000A761A">
          <w:rPr>
            <w:rStyle w:val="Hyperlink"/>
            <w:noProof/>
          </w:rPr>
          <w:t>Improve remand responses</w:t>
        </w:r>
        <w:r w:rsidR="00CA760E">
          <w:rPr>
            <w:noProof/>
            <w:webHidden/>
          </w:rPr>
          <w:tab/>
        </w:r>
        <w:r w:rsidR="00CA760E">
          <w:rPr>
            <w:noProof/>
            <w:webHidden/>
          </w:rPr>
          <w:fldChar w:fldCharType="begin"/>
        </w:r>
        <w:r w:rsidR="00CA760E">
          <w:rPr>
            <w:noProof/>
            <w:webHidden/>
          </w:rPr>
          <w:instrText xml:space="preserve"> PAGEREF _Toc476310203 \h </w:instrText>
        </w:r>
        <w:r w:rsidR="00CA760E">
          <w:rPr>
            <w:noProof/>
            <w:webHidden/>
          </w:rPr>
        </w:r>
        <w:r w:rsidR="00CA760E">
          <w:rPr>
            <w:noProof/>
            <w:webHidden/>
          </w:rPr>
          <w:fldChar w:fldCharType="separate"/>
        </w:r>
        <w:r w:rsidR="00483983">
          <w:rPr>
            <w:noProof/>
            <w:webHidden/>
          </w:rPr>
          <w:t>36</w:t>
        </w:r>
        <w:r w:rsidR="00CA760E">
          <w:rPr>
            <w:noProof/>
            <w:webHidden/>
          </w:rPr>
          <w:fldChar w:fldCharType="end"/>
        </w:r>
      </w:hyperlink>
    </w:p>
    <w:p w14:paraId="70DF0F20"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204" w:history="1">
        <w:r w:rsidR="00CA760E" w:rsidRPr="000A761A">
          <w:rPr>
            <w:rStyle w:val="Hyperlink"/>
            <w:noProof/>
          </w:rPr>
          <w:t>Reduce the number of young people on remand</w:t>
        </w:r>
        <w:r w:rsidR="00CA760E">
          <w:rPr>
            <w:noProof/>
            <w:webHidden/>
          </w:rPr>
          <w:tab/>
        </w:r>
        <w:r w:rsidR="00CA760E">
          <w:rPr>
            <w:noProof/>
            <w:webHidden/>
          </w:rPr>
          <w:fldChar w:fldCharType="begin"/>
        </w:r>
        <w:r w:rsidR="00CA760E">
          <w:rPr>
            <w:noProof/>
            <w:webHidden/>
          </w:rPr>
          <w:instrText xml:space="preserve"> PAGEREF _Toc476310204 \h </w:instrText>
        </w:r>
        <w:r w:rsidR="00CA760E">
          <w:rPr>
            <w:noProof/>
            <w:webHidden/>
          </w:rPr>
        </w:r>
        <w:r w:rsidR="00CA760E">
          <w:rPr>
            <w:noProof/>
            <w:webHidden/>
          </w:rPr>
          <w:fldChar w:fldCharType="separate"/>
        </w:r>
        <w:r w:rsidR="00483983">
          <w:rPr>
            <w:noProof/>
            <w:webHidden/>
          </w:rPr>
          <w:t>36</w:t>
        </w:r>
        <w:r w:rsidR="00CA760E">
          <w:rPr>
            <w:noProof/>
            <w:webHidden/>
          </w:rPr>
          <w:fldChar w:fldCharType="end"/>
        </w:r>
      </w:hyperlink>
    </w:p>
    <w:p w14:paraId="38544306" w14:textId="77777777" w:rsidR="00CA760E" w:rsidRDefault="007A7B40" w:rsidP="004E2C9E">
      <w:pPr>
        <w:pStyle w:val="TOC2"/>
        <w:tabs>
          <w:tab w:val="right" w:leader="dot" w:pos="9622"/>
        </w:tabs>
        <w:spacing w:line="288" w:lineRule="auto"/>
        <w:rPr>
          <w:rFonts w:asciiTheme="minorHAnsi" w:hAnsiTheme="minorHAnsi" w:cstheme="minorBidi"/>
          <w:noProof/>
          <w:szCs w:val="22"/>
          <w:lang w:val="en-AU" w:eastAsia="en-AU"/>
        </w:rPr>
      </w:pPr>
      <w:hyperlink w:anchor="_Toc476310205" w:history="1">
        <w:r w:rsidR="00CA760E" w:rsidRPr="000A761A">
          <w:rPr>
            <w:rStyle w:val="Hyperlink"/>
            <w:noProof/>
          </w:rPr>
          <w:t>Provide holistic support to young people on remand</w:t>
        </w:r>
        <w:r w:rsidR="00CA760E">
          <w:rPr>
            <w:noProof/>
            <w:webHidden/>
          </w:rPr>
          <w:tab/>
        </w:r>
        <w:r w:rsidR="00CA760E">
          <w:rPr>
            <w:noProof/>
            <w:webHidden/>
          </w:rPr>
          <w:fldChar w:fldCharType="begin"/>
        </w:r>
        <w:r w:rsidR="00CA760E">
          <w:rPr>
            <w:noProof/>
            <w:webHidden/>
          </w:rPr>
          <w:instrText xml:space="preserve"> PAGEREF _Toc476310205 \h </w:instrText>
        </w:r>
        <w:r w:rsidR="00CA760E">
          <w:rPr>
            <w:noProof/>
            <w:webHidden/>
          </w:rPr>
        </w:r>
        <w:r w:rsidR="00CA760E">
          <w:rPr>
            <w:noProof/>
            <w:webHidden/>
          </w:rPr>
          <w:fldChar w:fldCharType="separate"/>
        </w:r>
        <w:r w:rsidR="00483983">
          <w:rPr>
            <w:noProof/>
            <w:webHidden/>
          </w:rPr>
          <w:t>37</w:t>
        </w:r>
        <w:r w:rsidR="00CA760E">
          <w:rPr>
            <w:noProof/>
            <w:webHidden/>
          </w:rPr>
          <w:fldChar w:fldCharType="end"/>
        </w:r>
      </w:hyperlink>
    </w:p>
    <w:p w14:paraId="0121F89F" w14:textId="0474B227" w:rsidR="00521467" w:rsidRPr="004E2C9E" w:rsidRDefault="009E736B" w:rsidP="004E2C9E">
      <w:pPr>
        <w:pStyle w:val="Heading1"/>
        <w:rPr>
          <w:b w:val="0"/>
        </w:rPr>
      </w:pPr>
      <w:r>
        <w:rPr>
          <w:b w:val="0"/>
        </w:rPr>
        <w:lastRenderedPageBreak/>
        <w:fldChar w:fldCharType="end"/>
      </w:r>
      <w:bookmarkStart w:id="1" w:name="_Toc476310179"/>
      <w:r w:rsidR="002F685A">
        <w:t>Introduction</w:t>
      </w:r>
      <w:bookmarkEnd w:id="1"/>
    </w:p>
    <w:p w14:paraId="3AF7AD0F" w14:textId="3C6064FF" w:rsidR="00090931" w:rsidRDefault="00AD7A7D" w:rsidP="00E0470B">
      <w:r>
        <w:rPr>
          <w:lang w:val="en-AU"/>
        </w:rPr>
        <w:t>VCOSS welcomes th</w:t>
      </w:r>
      <w:r w:rsidR="00090931">
        <w:rPr>
          <w:lang w:val="en-AU"/>
        </w:rPr>
        <w:t>is</w:t>
      </w:r>
      <w:r>
        <w:rPr>
          <w:lang w:val="en-AU"/>
        </w:rPr>
        <w:t xml:space="preserve"> opportunity to make a submission to the </w:t>
      </w:r>
      <w:r w:rsidR="00090931">
        <w:rPr>
          <w:lang w:val="en-AU"/>
        </w:rPr>
        <w:t xml:space="preserve">Legislative Council Legal and Social Issues Committee </w:t>
      </w:r>
      <w:r>
        <w:rPr>
          <w:lang w:val="en-AU"/>
        </w:rPr>
        <w:t xml:space="preserve">inquiry into youth justice centres in Victoria. </w:t>
      </w:r>
      <w:r w:rsidR="00E0470B">
        <w:t>Too many vulnerable children and young people becom</w:t>
      </w:r>
      <w:r w:rsidR="00D94184">
        <w:t>e</w:t>
      </w:r>
      <w:r w:rsidR="00E0470B">
        <w:t xml:space="preserve"> entrenched in the youth justice system, rather than receiving tailored assistance to help address the underlying causes of their offending and get their lives back on track. </w:t>
      </w:r>
    </w:p>
    <w:p w14:paraId="0125D6DE" w14:textId="56374E13" w:rsidR="00E0470B" w:rsidRDefault="00E0470B" w:rsidP="00E0470B">
      <w:r>
        <w:t xml:space="preserve">VCOSS members </w:t>
      </w:r>
      <w:r w:rsidR="00090931">
        <w:t>have</w:t>
      </w:r>
      <w:r>
        <w:t xml:space="preserve"> </w:t>
      </w:r>
      <w:r w:rsidR="00090931">
        <w:t>numerous</w:t>
      </w:r>
      <w:r>
        <w:t xml:space="preserve"> </w:t>
      </w:r>
      <w:r w:rsidRPr="00BB2A0B">
        <w:t xml:space="preserve">concerns about </w:t>
      </w:r>
      <w:r w:rsidR="00090931">
        <w:t>Victoria’s</w:t>
      </w:r>
      <w:r w:rsidR="00090931" w:rsidRPr="00BB2A0B">
        <w:t xml:space="preserve"> </w:t>
      </w:r>
      <w:r>
        <w:t xml:space="preserve">youth justice centres, including </w:t>
      </w:r>
      <w:r w:rsidRPr="00BB2A0B">
        <w:t>staff shortages</w:t>
      </w:r>
      <w:r>
        <w:t>,</w:t>
      </w:r>
      <w:r w:rsidRPr="00BB2A0B">
        <w:t xml:space="preserve"> limited support and training for staff</w:t>
      </w:r>
      <w:r>
        <w:t xml:space="preserve"> in trauma informed practice</w:t>
      </w:r>
      <w:r w:rsidRPr="00BB2A0B">
        <w:t xml:space="preserve">, noncompliance with the rules governing use of isolation and seclusion, and </w:t>
      </w:r>
      <w:r>
        <w:t>inadequate assessment and response</w:t>
      </w:r>
      <w:r w:rsidR="00090931">
        <w:t>s</w:t>
      </w:r>
      <w:r>
        <w:t xml:space="preserve"> to young people’s complex needs</w:t>
      </w:r>
      <w:r w:rsidRPr="00BB2A0B">
        <w:t>.</w:t>
      </w:r>
    </w:p>
    <w:p w14:paraId="33B616F1" w14:textId="22BB0DD7" w:rsidR="00E0470B" w:rsidRDefault="00D94184" w:rsidP="00E0470B">
      <w:pPr>
        <w:rPr>
          <w:lang w:val="en-AU"/>
        </w:rPr>
      </w:pPr>
      <w:r>
        <w:t>While the inquiry is largely focused on the functioning of youth justice centers, VCOSS believe it is important to understand their role within the broader youth justice system.</w:t>
      </w:r>
      <w:r w:rsidR="0090094D">
        <w:rPr>
          <w:lang w:val="en-AU"/>
        </w:rPr>
        <w:t xml:space="preserve">This inquiry provide an opportunity to identify and fix the parts of the youth justice system that are not working </w:t>
      </w:r>
      <w:r w:rsidR="00701A6C">
        <w:rPr>
          <w:lang w:val="en-AU"/>
        </w:rPr>
        <w:t xml:space="preserve">effectively </w:t>
      </w:r>
      <w:r w:rsidR="0090094D">
        <w:rPr>
          <w:lang w:val="en-AU"/>
        </w:rPr>
        <w:t xml:space="preserve">and </w:t>
      </w:r>
      <w:r w:rsidR="0090094D" w:rsidRPr="003C1C6B">
        <w:t xml:space="preserve">make smart investments which genuinely improve community safety, prevent reoffending and improve the lives of </w:t>
      </w:r>
      <w:r w:rsidR="0090094D">
        <w:t xml:space="preserve">vulnerable </w:t>
      </w:r>
      <w:r w:rsidR="0090094D" w:rsidRPr="003C1C6B">
        <w:t xml:space="preserve">children and young people. </w:t>
      </w:r>
      <w:r w:rsidR="00E0470B" w:rsidRPr="00AA6C03">
        <w:rPr>
          <w:lang w:val="en-AU"/>
        </w:rPr>
        <w:t>It</w:t>
      </w:r>
      <w:r w:rsidR="00E0470B">
        <w:rPr>
          <w:lang w:val="en-AU"/>
        </w:rPr>
        <w:t xml:space="preserve"> is</w:t>
      </w:r>
      <w:r w:rsidR="00E0470B" w:rsidRPr="00AA6C03">
        <w:rPr>
          <w:lang w:val="en-AU"/>
        </w:rPr>
        <w:t xml:space="preserve"> </w:t>
      </w:r>
      <w:r w:rsidR="00447D7B">
        <w:rPr>
          <w:lang w:val="en-AU"/>
        </w:rPr>
        <w:t>crucial</w:t>
      </w:r>
      <w:r w:rsidR="00E0470B" w:rsidRPr="00AA6C03">
        <w:rPr>
          <w:lang w:val="en-AU"/>
        </w:rPr>
        <w:t xml:space="preserve"> </w:t>
      </w:r>
      <w:r w:rsidR="00E0470B">
        <w:rPr>
          <w:lang w:val="en-AU"/>
        </w:rPr>
        <w:t xml:space="preserve">to preserve and strengthen </w:t>
      </w:r>
      <w:r w:rsidR="00E0470B" w:rsidRPr="00AA6C03">
        <w:rPr>
          <w:lang w:val="en-AU"/>
        </w:rPr>
        <w:t>elements of the system that are working</w:t>
      </w:r>
      <w:r w:rsidR="00E0470B">
        <w:rPr>
          <w:lang w:val="en-AU"/>
        </w:rPr>
        <w:t xml:space="preserve"> well, including retaining a </w:t>
      </w:r>
      <w:r w:rsidR="00E0470B" w:rsidRPr="00613EED">
        <w:rPr>
          <w:szCs w:val="22"/>
        </w:rPr>
        <w:t>separate</w:t>
      </w:r>
      <w:r w:rsidR="00FD3E90">
        <w:rPr>
          <w:szCs w:val="22"/>
        </w:rPr>
        <w:t xml:space="preserve"> youth</w:t>
      </w:r>
      <w:r w:rsidR="00E0470B" w:rsidRPr="00613EED">
        <w:rPr>
          <w:szCs w:val="22"/>
        </w:rPr>
        <w:t xml:space="preserve"> justice system for children and young people focused on diversion, rehabilitation and age appropriate responses</w:t>
      </w:r>
      <w:r w:rsidR="00E0470B" w:rsidRPr="002F685A">
        <w:rPr>
          <w:lang w:val="en-AU"/>
        </w:rPr>
        <w:t xml:space="preserve">. </w:t>
      </w:r>
    </w:p>
    <w:p w14:paraId="16413576" w14:textId="57830DCC" w:rsidR="00151997" w:rsidRDefault="00151997" w:rsidP="00151997">
      <w:r>
        <w:t xml:space="preserve">Victoria was once considered a leader in youth justice initiatives. There is a risk the recent punitive and regressive youth justice system initiatives will undermine our success and chances of treating offenders humanely and with the best chance of rehabilitation. </w:t>
      </w:r>
    </w:p>
    <w:p w14:paraId="45D448DA" w14:textId="44FF7648" w:rsidR="00866B23" w:rsidRDefault="00FD3E90" w:rsidP="00866B23">
      <w:pPr>
        <w:pStyle w:val="Heading2"/>
      </w:pPr>
      <w:bookmarkStart w:id="2" w:name="_Toc476310180"/>
      <w:r>
        <w:t>Youth offending is low and declining</w:t>
      </w:r>
      <w:bookmarkEnd w:id="2"/>
    </w:p>
    <w:p w14:paraId="71E6E89A" w14:textId="37063F0E" w:rsidR="00DA59BF" w:rsidRPr="00AA6C03" w:rsidRDefault="00866B23" w:rsidP="00DA59BF">
      <w:pPr>
        <w:rPr>
          <w:lang w:val="en-AU"/>
        </w:rPr>
      </w:pPr>
      <w:r>
        <w:rPr>
          <w:lang w:val="en-AU"/>
        </w:rPr>
        <w:t xml:space="preserve">Historically, Victoria has had a strong youth justice system, with policies and interventions focused on preventing crime and diverting children and young people away from the youth justice system. </w:t>
      </w:r>
      <w:r w:rsidR="00AD7A7D">
        <w:rPr>
          <w:lang w:val="en-AU"/>
        </w:rPr>
        <w:t xml:space="preserve">As a result, Victorian has </w:t>
      </w:r>
      <w:r w:rsidR="00AD7A7D" w:rsidRPr="00AA6C03">
        <w:rPr>
          <w:lang w:val="en-AU"/>
        </w:rPr>
        <w:t>one of the lowest rates of youth offending</w:t>
      </w:r>
      <w:r w:rsidR="00090931">
        <w:rPr>
          <w:lang w:val="en-AU"/>
        </w:rPr>
        <w:t xml:space="preserve"> in Australia,</w:t>
      </w:r>
      <w:r w:rsidR="00AD7A7D" w:rsidRPr="00447D7B">
        <w:rPr>
          <w:vertAlign w:val="superscript"/>
          <w:lang w:val="en-AU"/>
        </w:rPr>
        <w:footnoteReference w:id="2"/>
      </w:r>
      <w:r w:rsidR="007C7099" w:rsidRPr="00447D7B">
        <w:rPr>
          <w:vertAlign w:val="superscript"/>
          <w:lang w:val="en-AU"/>
        </w:rPr>
        <w:t xml:space="preserve"> </w:t>
      </w:r>
      <w:r w:rsidR="007C7099" w:rsidRPr="00AA6C03">
        <w:rPr>
          <w:lang w:val="en-AU"/>
        </w:rPr>
        <w:t>and</w:t>
      </w:r>
      <w:r w:rsidR="00AD7A7D" w:rsidRPr="00AA6C03">
        <w:rPr>
          <w:lang w:val="en-AU"/>
        </w:rPr>
        <w:t xml:space="preserve"> </w:t>
      </w:r>
      <w:r w:rsidR="007C7099" w:rsidRPr="00AA6C03">
        <w:rPr>
          <w:lang w:val="en-AU"/>
        </w:rPr>
        <w:t>was the only state or territory which experienced a decrease in the number of offenders between 2014–15 and 2015–16.</w:t>
      </w:r>
      <w:r w:rsidR="007C7099" w:rsidRPr="00AA6C03">
        <w:rPr>
          <w:rFonts w:hint="eastAsia"/>
          <w:vertAlign w:val="superscript"/>
          <w:lang w:val="en-AU"/>
        </w:rPr>
        <w:footnoteReference w:id="3"/>
      </w:r>
      <w:r w:rsidR="00DA59BF" w:rsidRPr="00AA6C03">
        <w:rPr>
          <w:vertAlign w:val="superscript"/>
          <w:lang w:val="en-AU"/>
        </w:rPr>
        <w:t xml:space="preserve"> </w:t>
      </w:r>
    </w:p>
    <w:p w14:paraId="21D4E631" w14:textId="51622734" w:rsidR="007C7099" w:rsidRDefault="007C7099" w:rsidP="007C7099">
      <w:r w:rsidRPr="003C1C6B">
        <w:t xml:space="preserve">Despite recent media coverage, Victoria is not experiencing a </w:t>
      </w:r>
      <w:r>
        <w:t xml:space="preserve">youth </w:t>
      </w:r>
      <w:r w:rsidRPr="003C1C6B">
        <w:t>crime wave.</w:t>
      </w:r>
      <w:r>
        <w:t xml:space="preserve"> Overall</w:t>
      </w:r>
      <w:r w:rsidR="00EF2D78">
        <w:t>,</w:t>
      </w:r>
      <w:r>
        <w:t xml:space="preserve"> the number of children and young people committing crimes is low and declining. Less than one </w:t>
      </w:r>
      <w:r>
        <w:lastRenderedPageBreak/>
        <w:t>percent of 10</w:t>
      </w:r>
      <w:r w:rsidR="00151997">
        <w:t xml:space="preserve"> to</w:t>
      </w:r>
      <w:r>
        <w:t>17 year olds in Victoria are sentence</w:t>
      </w:r>
      <w:r w:rsidR="006B15EE">
        <w:t>d</w:t>
      </w:r>
      <w:r>
        <w:t xml:space="preserve"> for criminal offences.</w:t>
      </w:r>
      <w:r>
        <w:rPr>
          <w:rStyle w:val="FootnoteReference"/>
        </w:rPr>
        <w:footnoteReference w:id="4"/>
      </w:r>
      <w:r>
        <w:t xml:space="preserve"> </w:t>
      </w:r>
      <w:r w:rsidRPr="00C625F6">
        <w:rPr>
          <w:lang w:val="en-AU"/>
        </w:rPr>
        <w:t xml:space="preserve">Over the last </w:t>
      </w:r>
      <w:r>
        <w:rPr>
          <w:lang w:val="en-AU"/>
        </w:rPr>
        <w:t>10</w:t>
      </w:r>
      <w:r w:rsidRPr="00C625F6">
        <w:rPr>
          <w:lang w:val="en-AU"/>
        </w:rPr>
        <w:t xml:space="preserve"> years the number of young people </w:t>
      </w:r>
      <w:r>
        <w:rPr>
          <w:lang w:val="en-AU"/>
        </w:rPr>
        <w:t>aged 10</w:t>
      </w:r>
      <w:r w:rsidR="00151997">
        <w:rPr>
          <w:lang w:val="en-AU"/>
        </w:rPr>
        <w:t xml:space="preserve"> to</w:t>
      </w:r>
      <w:r>
        <w:rPr>
          <w:lang w:val="en-AU"/>
        </w:rPr>
        <w:t>19</w:t>
      </w:r>
      <w:r w:rsidR="00EF2D78">
        <w:rPr>
          <w:lang w:val="en-AU"/>
        </w:rPr>
        <w:t xml:space="preserve"> </w:t>
      </w:r>
      <w:r w:rsidRPr="00C625F6">
        <w:rPr>
          <w:lang w:val="en-AU"/>
        </w:rPr>
        <w:t xml:space="preserve">committing offences </w:t>
      </w:r>
      <w:r>
        <w:rPr>
          <w:lang w:val="en-AU"/>
        </w:rPr>
        <w:t>has steadily de</w:t>
      </w:r>
      <w:r w:rsidR="00447D7B">
        <w:rPr>
          <w:lang w:val="en-AU"/>
        </w:rPr>
        <w:t>creased</w:t>
      </w:r>
      <w:r>
        <w:rPr>
          <w:lang w:val="en-AU"/>
        </w:rPr>
        <w:t>.</w:t>
      </w:r>
      <w:r>
        <w:rPr>
          <w:rStyle w:val="FootnoteReference"/>
          <w:rFonts w:ascii="Helvetica" w:eastAsia="Times New Roman" w:hAnsi="Helvetica" w:cs="Times New Roman"/>
          <w:color w:val="000000"/>
          <w:sz w:val="21"/>
          <w:szCs w:val="21"/>
        </w:rPr>
        <w:footnoteReference w:id="5"/>
      </w:r>
      <w:r w:rsidRPr="00C625F6">
        <w:rPr>
          <w:lang w:val="en-AU"/>
        </w:rPr>
        <w:t xml:space="preserve"> </w:t>
      </w:r>
      <w:r w:rsidR="00E0470B">
        <w:rPr>
          <w:lang w:val="en-AU"/>
        </w:rPr>
        <w:t>T</w:t>
      </w:r>
      <w:r>
        <w:t xml:space="preserve">here has been a 43 per </w:t>
      </w:r>
      <w:r w:rsidR="00E0470B">
        <w:t>cent reduction in the number of</w:t>
      </w:r>
      <w:r w:rsidRPr="006457A9">
        <w:t xml:space="preserve"> children sentenced in the Children’s Court of Victoria</w:t>
      </w:r>
      <w:r w:rsidR="00E0470B">
        <w:t xml:space="preserve"> over the last five years</w:t>
      </w:r>
      <w:r w:rsidRPr="006457A9">
        <w:t>.</w:t>
      </w:r>
      <w:r>
        <w:rPr>
          <w:rStyle w:val="FootnoteReference"/>
          <w:rFonts w:ascii="GillSansStd-Light" w:hAnsi="GillSansStd-Light" w:cs="GillSansStd-Light"/>
          <w:sz w:val="21"/>
          <w:szCs w:val="21"/>
          <w:lang w:val="en-AU"/>
        </w:rPr>
        <w:footnoteReference w:id="6"/>
      </w:r>
    </w:p>
    <w:p w14:paraId="64C17D10" w14:textId="4FB575BD" w:rsidR="007C7099" w:rsidRDefault="007C7099" w:rsidP="007C7099">
      <w:pPr>
        <w:rPr>
          <w:vertAlign w:val="superscript"/>
        </w:rPr>
      </w:pPr>
      <w:r>
        <w:t>However, t</w:t>
      </w:r>
      <w:r w:rsidRPr="003C1C6B">
        <w:t xml:space="preserve">here are a small number of young </w:t>
      </w:r>
      <w:r w:rsidR="006457A9">
        <w:t>people</w:t>
      </w:r>
      <w:r w:rsidRPr="003C1C6B">
        <w:t xml:space="preserve"> committing repeat and violent </w:t>
      </w:r>
      <w:r>
        <w:t>offences</w:t>
      </w:r>
      <w:r w:rsidRPr="003C1C6B">
        <w:t xml:space="preserve"> </w:t>
      </w:r>
      <w:r>
        <w:t>for whom the system is not working</w:t>
      </w:r>
      <w:r w:rsidR="00E0470B">
        <w:t xml:space="preserve">. We recognise there is </w:t>
      </w:r>
      <w:r w:rsidR="00E0470B" w:rsidRPr="006B15EE">
        <w:t>legitimate community</w:t>
      </w:r>
      <w:r w:rsidR="00E0470B">
        <w:t xml:space="preserve"> concern about these crimes, and believe m</w:t>
      </w:r>
      <w:r w:rsidR="006457A9">
        <w:t xml:space="preserve">ore intensive, tailored </w:t>
      </w:r>
      <w:r w:rsidR="00447D7B">
        <w:t>interventions</w:t>
      </w:r>
      <w:r w:rsidR="006457A9">
        <w:t xml:space="preserve"> </w:t>
      </w:r>
      <w:r w:rsidR="00447D7B">
        <w:t>are</w:t>
      </w:r>
      <w:r w:rsidR="00AA6C03">
        <w:t xml:space="preserve"> require </w:t>
      </w:r>
      <w:r w:rsidRPr="003C1C6B">
        <w:t xml:space="preserve">to </w:t>
      </w:r>
      <w:r w:rsidR="00AA6C03">
        <w:t xml:space="preserve">prevent </w:t>
      </w:r>
      <w:r w:rsidR="006B15EE">
        <w:t>re</w:t>
      </w:r>
      <w:r w:rsidR="00AA6C03">
        <w:t>offending and rehabilitate these young people</w:t>
      </w:r>
      <w:r w:rsidRPr="003C1C6B">
        <w:t>.</w:t>
      </w:r>
      <w:r>
        <w:t xml:space="preserve"> </w:t>
      </w:r>
    </w:p>
    <w:p w14:paraId="5F0A2E0B" w14:textId="7629A3E4" w:rsidR="00AA6C03" w:rsidRDefault="00AA6C03" w:rsidP="007C7099">
      <w:r>
        <w:t xml:space="preserve">This cohort </w:t>
      </w:r>
      <w:r w:rsidRPr="00496172">
        <w:t xml:space="preserve">are responsible for a high </w:t>
      </w:r>
      <w:r w:rsidR="00EF2D78">
        <w:t>proportion</w:t>
      </w:r>
      <w:r w:rsidR="00EF2D78" w:rsidRPr="00496172">
        <w:t xml:space="preserve"> </w:t>
      </w:r>
      <w:r w:rsidRPr="00496172">
        <w:t>of crime</w:t>
      </w:r>
      <w:r w:rsidR="00EF2D78">
        <w:t>s committed by young people</w:t>
      </w:r>
      <w:r>
        <w:t>,</w:t>
      </w:r>
      <w:r w:rsidRPr="00496172">
        <w:rPr>
          <w:vertAlign w:val="superscript"/>
        </w:rPr>
        <w:footnoteReference w:id="7"/>
      </w:r>
      <w:r w:rsidRPr="00496172">
        <w:t xml:space="preserve"> </w:t>
      </w:r>
      <w:r>
        <w:t>with</w:t>
      </w:r>
      <w:r w:rsidRPr="00496172">
        <w:t xml:space="preserve"> just 1.6</w:t>
      </w:r>
      <w:r w:rsidR="000F3F2A">
        <w:t xml:space="preserve"> per cent</w:t>
      </w:r>
      <w:r w:rsidRPr="00496172">
        <w:t xml:space="preserve"> of youn</w:t>
      </w:r>
      <w:r w:rsidR="00EF2D78">
        <w:t>g offenders</w:t>
      </w:r>
      <w:r w:rsidRPr="00496172">
        <w:t xml:space="preserve"> account</w:t>
      </w:r>
      <w:r>
        <w:t>ing</w:t>
      </w:r>
      <w:r w:rsidRPr="00496172">
        <w:t xml:space="preserve"> for </w:t>
      </w:r>
      <w:r>
        <w:t>almost</w:t>
      </w:r>
      <w:r w:rsidRPr="00496172">
        <w:t xml:space="preserve"> one quarter of all </w:t>
      </w:r>
      <w:r>
        <w:t xml:space="preserve">recorded </w:t>
      </w:r>
      <w:r w:rsidRPr="00496172">
        <w:t>offences</w:t>
      </w:r>
      <w:r w:rsidR="00EF2D78">
        <w:t xml:space="preserve"> committed by young people</w:t>
      </w:r>
      <w:r w:rsidRPr="00496172">
        <w:t>.</w:t>
      </w:r>
      <w:r w:rsidRPr="00496172">
        <w:rPr>
          <w:vertAlign w:val="superscript"/>
        </w:rPr>
        <w:footnoteReference w:id="8"/>
      </w:r>
      <w:r w:rsidRPr="00496172">
        <w:rPr>
          <w:vertAlign w:val="superscript"/>
        </w:rPr>
        <w:t xml:space="preserve">  </w:t>
      </w:r>
      <w:r w:rsidR="006B15EE">
        <w:t>The</w:t>
      </w:r>
      <w:r w:rsidR="007C7099" w:rsidRPr="00496172">
        <w:t xml:space="preserve"> vast majority (89%) of young offenders </w:t>
      </w:r>
      <w:r w:rsidR="00151997">
        <w:t>commit very few</w:t>
      </w:r>
      <w:r w:rsidR="007C7099" w:rsidRPr="00496172">
        <w:t xml:space="preserve"> offen</w:t>
      </w:r>
      <w:r w:rsidR="00151997">
        <w:t>ces</w:t>
      </w:r>
      <w:r w:rsidR="007C7099">
        <w:t>.</w:t>
      </w:r>
      <w:r w:rsidR="007C7099" w:rsidRPr="00496172">
        <w:rPr>
          <w:vertAlign w:val="superscript"/>
        </w:rPr>
        <w:footnoteReference w:id="9"/>
      </w:r>
      <w:r w:rsidR="007C7099" w:rsidRPr="00496172">
        <w:rPr>
          <w:vertAlign w:val="superscript"/>
        </w:rPr>
        <w:t xml:space="preserve"> </w:t>
      </w:r>
      <w:r w:rsidR="007C7099" w:rsidRPr="00496172">
        <w:t xml:space="preserve"> </w:t>
      </w:r>
      <w:r>
        <w:t>Despite some r</w:t>
      </w:r>
      <w:proofErr w:type="spellStart"/>
      <w:r>
        <w:rPr>
          <w:lang w:val="en-AU"/>
        </w:rPr>
        <w:t>ecent</w:t>
      </w:r>
      <w:proofErr w:type="spellEnd"/>
      <w:r>
        <w:rPr>
          <w:lang w:val="en-AU"/>
        </w:rPr>
        <w:t xml:space="preserve"> high profile </w:t>
      </w:r>
      <w:r w:rsidRPr="00496172">
        <w:t xml:space="preserve">cases of more serious offences, such as </w:t>
      </w:r>
      <w:r>
        <w:t xml:space="preserve">car </w:t>
      </w:r>
      <w:r w:rsidR="00EF2D78">
        <w:t xml:space="preserve">theft </w:t>
      </w:r>
      <w:r>
        <w:t xml:space="preserve">and </w:t>
      </w:r>
      <w:r w:rsidR="00EF2D78">
        <w:t>home entry</w:t>
      </w:r>
      <w:r>
        <w:t>, o</w:t>
      </w:r>
      <w:r w:rsidR="007C7099" w:rsidRPr="00496172">
        <w:t xml:space="preserve">verall young people </w:t>
      </w:r>
      <w:r w:rsidR="007C7099">
        <w:t xml:space="preserve">are much less likely than </w:t>
      </w:r>
      <w:r w:rsidR="007C7099" w:rsidRPr="00496172">
        <w:t xml:space="preserve">adults to commit serious </w:t>
      </w:r>
      <w:r w:rsidR="00EF2D78">
        <w:t>crimes</w:t>
      </w:r>
      <w:r w:rsidR="00447D7B">
        <w:t>.</w:t>
      </w:r>
      <w:r w:rsidR="007C7099" w:rsidRPr="00496172">
        <w:rPr>
          <w:vertAlign w:val="superscript"/>
        </w:rPr>
        <w:footnoteReference w:id="10"/>
      </w:r>
      <w:r w:rsidR="006B15EE">
        <w:t xml:space="preserve"> </w:t>
      </w:r>
    </w:p>
    <w:p w14:paraId="52293E08" w14:textId="12A5AB08" w:rsidR="0090094D" w:rsidRDefault="00FD3E90" w:rsidP="0090094D">
      <w:pPr>
        <w:pStyle w:val="Heading2"/>
      </w:pPr>
      <w:bookmarkStart w:id="3" w:name="_Toc476310181"/>
      <w:r>
        <w:t>Punitive measures are not effective</w:t>
      </w:r>
      <w:bookmarkEnd w:id="3"/>
      <w:r>
        <w:t xml:space="preserve"> </w:t>
      </w:r>
    </w:p>
    <w:p w14:paraId="6A25A70D" w14:textId="07827AD9" w:rsidR="0090094D" w:rsidRDefault="006B15EE" w:rsidP="00AA6C03">
      <w:r>
        <w:t>In response to recent m</w:t>
      </w:r>
      <w:r w:rsidR="006457A9">
        <w:t xml:space="preserve">edia coverage </w:t>
      </w:r>
      <w:r w:rsidR="00FD3E90">
        <w:t>o</w:t>
      </w:r>
      <w:r w:rsidR="00447D7B">
        <w:t>f</w:t>
      </w:r>
      <w:r w:rsidR="00FD3E90">
        <w:t xml:space="preserve"> these high-profile cases </w:t>
      </w:r>
      <w:r w:rsidR="006457A9">
        <w:t>and incidents at the Mal</w:t>
      </w:r>
      <w:r w:rsidR="00FD3E90">
        <w:t>m</w:t>
      </w:r>
      <w:r w:rsidR="006457A9">
        <w:t>sbury and Parkville youth justice centers</w:t>
      </w:r>
      <w:r w:rsidR="00447D7B">
        <w:t>,</w:t>
      </w:r>
      <w:r w:rsidR="006457A9">
        <w:t xml:space="preserve"> </w:t>
      </w:r>
      <w:r>
        <w:t>the</w:t>
      </w:r>
      <w:r w:rsidR="006457A9">
        <w:t xml:space="preserve"> </w:t>
      </w:r>
      <w:r w:rsidR="00EF2D78">
        <w:t xml:space="preserve">Victorian </w:t>
      </w:r>
      <w:r w:rsidR="006457A9">
        <w:t xml:space="preserve">government </w:t>
      </w:r>
      <w:r>
        <w:t xml:space="preserve">has </w:t>
      </w:r>
      <w:r w:rsidR="00EF2D78">
        <w:t>become increasingly punitive</w:t>
      </w:r>
      <w:r w:rsidR="00FD3E90">
        <w:t>,</w:t>
      </w:r>
      <w:r w:rsidR="006457A9">
        <w:t xml:space="preserve"> including transferring some young people to the Grevillea unit in </w:t>
      </w:r>
      <w:proofErr w:type="spellStart"/>
      <w:r w:rsidR="006457A9">
        <w:t>Barwon’s</w:t>
      </w:r>
      <w:proofErr w:type="spellEnd"/>
      <w:r w:rsidR="006457A9">
        <w:t xml:space="preserve"> adult prison.</w:t>
      </w:r>
    </w:p>
    <w:p w14:paraId="54379275" w14:textId="24820ACE" w:rsidR="0090094D" w:rsidRDefault="0090094D" w:rsidP="00AA6C03">
      <w:r w:rsidRPr="00E811EC">
        <w:t xml:space="preserve">While </w:t>
      </w:r>
      <w:r w:rsidR="00EF2D78">
        <w:t>this</w:t>
      </w:r>
      <w:r w:rsidRPr="00E811EC">
        <w:t xml:space="preserve"> approach may be politically popular, </w:t>
      </w:r>
      <w:r w:rsidR="006457A9">
        <w:t xml:space="preserve">evidence demonstrates </w:t>
      </w:r>
      <w:r w:rsidR="00EF2D78">
        <w:t>sanctions</w:t>
      </w:r>
      <w:r w:rsidR="00447D7B">
        <w:t xml:space="preserve"> focus</w:t>
      </w:r>
      <w:r w:rsidR="00EF2D78">
        <w:t>ing</w:t>
      </w:r>
      <w:r w:rsidR="00447D7B">
        <w:t xml:space="preserve"> on </w:t>
      </w:r>
      <w:r w:rsidR="006457A9">
        <w:t xml:space="preserve">detention and overly strict bail </w:t>
      </w:r>
      <w:r w:rsidR="00EF2D78">
        <w:t>limitations</w:t>
      </w:r>
      <w:r w:rsidR="006457A9">
        <w:t xml:space="preserve">, are ineffective at reducing offending and recidivism among young </w:t>
      </w:r>
      <w:proofErr w:type="gramStart"/>
      <w:r w:rsidR="006457A9">
        <w:t>people.</w:t>
      </w:r>
      <w:r w:rsidR="006457A9" w:rsidRPr="00487957">
        <w:rPr>
          <w:rStyle w:val="FootnoteReference"/>
          <w:sz w:val="20"/>
        </w:rPr>
        <w:footnoteReference w:id="11"/>
      </w:r>
      <w:r w:rsidR="006457A9" w:rsidRPr="00487957">
        <w:rPr>
          <w:sz w:val="20"/>
          <w:vertAlign w:val="superscript"/>
        </w:rPr>
        <w:t>,</w:t>
      </w:r>
      <w:proofErr w:type="gramEnd"/>
      <w:r w:rsidR="006457A9" w:rsidRPr="00487957">
        <w:rPr>
          <w:rStyle w:val="FootnoteReference"/>
          <w:color w:val="000000"/>
          <w:sz w:val="20"/>
          <w:shd w:val="clear" w:color="auto" w:fill="FFFFFF"/>
        </w:rPr>
        <w:footnoteReference w:id="12"/>
      </w:r>
      <w:r w:rsidR="006457A9" w:rsidRPr="00487957">
        <w:rPr>
          <w:color w:val="000000"/>
          <w:sz w:val="20"/>
          <w:shd w:val="clear" w:color="auto" w:fill="FFFFFF"/>
          <w:vertAlign w:val="superscript"/>
        </w:rPr>
        <w:t xml:space="preserve">  </w:t>
      </w:r>
      <w:r>
        <w:t>Detention and p</w:t>
      </w:r>
      <w:r w:rsidRPr="00E811EC">
        <w:t xml:space="preserve">unitive measures </w:t>
      </w:r>
      <w:r>
        <w:t xml:space="preserve">are likely to </w:t>
      </w:r>
      <w:r w:rsidRPr="00AA0A11">
        <w:t xml:space="preserve">cause further harm </w:t>
      </w:r>
      <w:r>
        <w:t xml:space="preserve">and place young people </w:t>
      </w:r>
      <w:r w:rsidRPr="0011219E">
        <w:t>at risk of becomi</w:t>
      </w:r>
      <w:r>
        <w:t>ng chronic, long-term offenders.</w:t>
      </w:r>
    </w:p>
    <w:p w14:paraId="4370EE39" w14:textId="0A8AEBCA" w:rsidR="006B15EE" w:rsidRDefault="006B15EE" w:rsidP="006B15EE">
      <w:r>
        <w:t xml:space="preserve">The most effective youth justice systems invest in a suite of comprehensive and complementary interventions from prevention through to early intervention to divert </w:t>
      </w:r>
      <w:r w:rsidR="00701A6C">
        <w:t>young people away from detention,</w:t>
      </w:r>
      <w:r>
        <w:t xml:space="preserve"> </w:t>
      </w:r>
      <w:r w:rsidR="00EF2D78">
        <w:t>provide intensive</w:t>
      </w:r>
      <w:r>
        <w:t xml:space="preserve"> intervention</w:t>
      </w:r>
      <w:r w:rsidR="00EF2D78">
        <w:t>s</w:t>
      </w:r>
      <w:r>
        <w:t xml:space="preserve"> to rehabilitate children and young people who have offended</w:t>
      </w:r>
      <w:r w:rsidR="00EF2D78">
        <w:t>,</w:t>
      </w:r>
      <w:r>
        <w:t xml:space="preserve"> a</w:t>
      </w:r>
      <w:r w:rsidR="00EF2D78">
        <w:t>nd</w:t>
      </w:r>
      <w:r>
        <w:t xml:space="preserve"> post-release support to help prevent future offending.</w:t>
      </w:r>
      <w:r>
        <w:rPr>
          <w:rStyle w:val="FootnoteReference"/>
        </w:rPr>
        <w:footnoteReference w:id="13"/>
      </w:r>
    </w:p>
    <w:p w14:paraId="45802C7C" w14:textId="6E68155D" w:rsidR="00701A6C" w:rsidRDefault="00701A6C" w:rsidP="006B15EE">
      <w:r w:rsidRPr="00B43DE6">
        <w:lastRenderedPageBreak/>
        <w:t>Alternatives</w:t>
      </w:r>
      <w:r w:rsidRPr="00CB0BA8">
        <w:t xml:space="preserve"> to detention in youth justice facilities, such as diversion, cautioning and intensive community support programs can be more effective and less expensive than detention. </w:t>
      </w:r>
      <w:r w:rsidR="002F685A">
        <w:t>VCOSS believe</w:t>
      </w:r>
      <w:r w:rsidR="00EF2D78">
        <w:t>s</w:t>
      </w:r>
      <w:r w:rsidR="002F685A">
        <w:t xml:space="preserve"> </w:t>
      </w:r>
      <w:r w:rsidR="00FD3E90">
        <w:t>youth justice c</w:t>
      </w:r>
      <w:r w:rsidRPr="00CB0BA8">
        <w:t xml:space="preserve">enters </w:t>
      </w:r>
      <w:r w:rsidR="002F685A">
        <w:t>should remain a last resort, but whe</w:t>
      </w:r>
      <w:r w:rsidR="00EF2D78">
        <w:t>n</w:t>
      </w:r>
      <w:r w:rsidR="002F685A">
        <w:t xml:space="preserve"> required, </w:t>
      </w:r>
      <w:r w:rsidRPr="00CB0BA8">
        <w:t>can be a place to help young people who have offe</w:t>
      </w:r>
      <w:r>
        <w:t>nde</w:t>
      </w:r>
      <w:r w:rsidRPr="00CB0BA8">
        <w:t xml:space="preserve">d to rehabilitate and </w:t>
      </w:r>
      <w:r w:rsidR="00FD3E90">
        <w:t>reintegrat</w:t>
      </w:r>
      <w:r w:rsidR="00EF2D78">
        <w:t xml:space="preserve">e </w:t>
      </w:r>
      <w:r w:rsidR="00FD3E90">
        <w:t xml:space="preserve">back </w:t>
      </w:r>
      <w:r w:rsidR="00EF2D78">
        <w:t>in</w:t>
      </w:r>
      <w:r w:rsidR="00FD3E90">
        <w:t>to</w:t>
      </w:r>
      <w:r w:rsidR="00EF2D78">
        <w:t xml:space="preserve"> the</w:t>
      </w:r>
      <w:r w:rsidR="00FD3E90">
        <w:t xml:space="preserve"> community</w:t>
      </w:r>
      <w:r w:rsidRPr="00CB0BA8">
        <w:t>, with appropriate therapeutic response and p</w:t>
      </w:r>
      <w:r w:rsidR="00FD3E90">
        <w:t xml:space="preserve">rograms </w:t>
      </w:r>
      <w:r w:rsidR="00EF2D78">
        <w:t xml:space="preserve">aimed at reducing their </w:t>
      </w:r>
      <w:r w:rsidRPr="00CB0BA8">
        <w:t>disadvantage. </w:t>
      </w:r>
    </w:p>
    <w:p w14:paraId="4C9E3D25" w14:textId="5312A131" w:rsidR="00FD3E90" w:rsidRDefault="00FD3E90" w:rsidP="006B15EE">
      <w:r>
        <w:t xml:space="preserve">We acknowledge and welcome some </w:t>
      </w:r>
      <w:r w:rsidRPr="00FD3E90">
        <w:t>positive recent investment such as the state-wide Youth Justice Bail Supervision scheme, expansion of the Central after Hours Assessment and Bail Placement Service and the reversal of certain bail laws for children and young people.</w:t>
      </w:r>
    </w:p>
    <w:p w14:paraId="04970C8D" w14:textId="25D749D9" w:rsidR="006D60B5" w:rsidRDefault="00EF2D78" w:rsidP="00031B99">
      <w:pPr>
        <w:pStyle w:val="Heading2"/>
      </w:pPr>
      <w:bookmarkStart w:id="4" w:name="_Toc476310182"/>
      <w:r>
        <w:t>Young offenders are highly disadvantaged</w:t>
      </w:r>
      <w:bookmarkEnd w:id="4"/>
      <w:r w:rsidR="006D60B5">
        <w:t xml:space="preserve"> </w:t>
      </w:r>
    </w:p>
    <w:p w14:paraId="3419B979" w14:textId="02C2D503" w:rsidR="00FD3E90" w:rsidRDefault="002F685A" w:rsidP="00C90B5E">
      <w:r>
        <w:t>C</w:t>
      </w:r>
      <w:r w:rsidR="0090094D">
        <w:t xml:space="preserve">hildren and young people’s offending is </w:t>
      </w:r>
      <w:r w:rsidR="00EF2D78">
        <w:t>related to</w:t>
      </w:r>
      <w:r w:rsidR="00701A6C">
        <w:t xml:space="preserve"> their circumstances. </w:t>
      </w:r>
      <w:r w:rsidR="00FD3E90">
        <w:t xml:space="preserve">Their brains are still </w:t>
      </w:r>
      <w:r w:rsidR="007708F3">
        <w:t>developing</w:t>
      </w:r>
      <w:r w:rsidR="00EF2D78">
        <w:t>,</w:t>
      </w:r>
      <w:r w:rsidR="00FD3E90">
        <w:t xml:space="preserve"> making them </w:t>
      </w:r>
      <w:r w:rsidR="00EF2D78">
        <w:t xml:space="preserve">more </w:t>
      </w:r>
      <w:r w:rsidR="00FD3E90">
        <w:t xml:space="preserve">susceptible to peer influence and risk taking </w:t>
      </w:r>
      <w:r w:rsidR="00EF2D78">
        <w:t>behavior. M</w:t>
      </w:r>
      <w:r w:rsidR="00EF2D78" w:rsidRPr="002F685A">
        <w:t>ost young people grow out of offending as they mature</w:t>
      </w:r>
      <w:r w:rsidR="00EF2D78">
        <w:t xml:space="preserve">, if given </w:t>
      </w:r>
      <w:r w:rsidR="00FD3E90" w:rsidRPr="002F685A">
        <w:t xml:space="preserve">the right </w:t>
      </w:r>
      <w:r w:rsidR="00233319">
        <w:t>assistance</w:t>
      </w:r>
      <w:r w:rsidR="00EF2D78">
        <w:t>.</w:t>
      </w:r>
    </w:p>
    <w:p w14:paraId="31C922D6" w14:textId="36815478" w:rsidR="006D60B5" w:rsidRDefault="00CB6241" w:rsidP="00C90B5E">
      <w:r>
        <w:t>Overwhelmingly</w:t>
      </w:r>
      <w:r w:rsidR="00EF2D78">
        <w:t>,</w:t>
      </w:r>
      <w:r>
        <w:t xml:space="preserve"> young people who have offended, or are on remand</w:t>
      </w:r>
      <w:r w:rsidR="00E95A2D">
        <w:t xml:space="preserve"> facing sentencing</w:t>
      </w:r>
      <w:r>
        <w:t xml:space="preserve">, have faced significant disadvantage </w:t>
      </w:r>
      <w:r w:rsidR="003A267B">
        <w:t>and adversity</w:t>
      </w:r>
      <w:r w:rsidR="00151997">
        <w:t xml:space="preserve"> in their lives</w:t>
      </w:r>
      <w:r>
        <w:t xml:space="preserve">. </w:t>
      </w:r>
      <w:r w:rsidR="00E95A2D" w:rsidRPr="00E95A2D">
        <w:t xml:space="preserve">Many have already been involved in </w:t>
      </w:r>
      <w:r w:rsidR="00E84B1F">
        <w:t xml:space="preserve">the child protection system and experienced </w:t>
      </w:r>
      <w:r>
        <w:t>trauma or neglect</w:t>
      </w:r>
      <w:r w:rsidR="00E95A2D">
        <w:t xml:space="preserve">, </w:t>
      </w:r>
      <w:r w:rsidR="00E84B1F">
        <w:t xml:space="preserve">have </w:t>
      </w:r>
      <w:r w:rsidR="00481A1B">
        <w:t>mental health or</w:t>
      </w:r>
      <w:r w:rsidR="00E95A2D">
        <w:t xml:space="preserve"> drug and alcohol </w:t>
      </w:r>
      <w:r w:rsidR="00EF2D78">
        <w:t>problems</w:t>
      </w:r>
      <w:r w:rsidR="00E95A2D">
        <w:t>,</w:t>
      </w:r>
      <w:r w:rsidR="008C5396">
        <w:t xml:space="preserve"> </w:t>
      </w:r>
      <w:proofErr w:type="gramStart"/>
      <w:r w:rsidR="008C5396">
        <w:t>have</w:t>
      </w:r>
      <w:proofErr w:type="gramEnd"/>
      <w:r w:rsidR="008C5396">
        <w:t xml:space="preserve"> low levels of education</w:t>
      </w:r>
      <w:r w:rsidR="00E95A2D">
        <w:t xml:space="preserve"> and experienced poverty. </w:t>
      </w:r>
      <w:r w:rsidR="000B52AB">
        <w:t xml:space="preserve">Aboriginal children and </w:t>
      </w:r>
      <w:r w:rsidR="00E84B1F">
        <w:t>children</w:t>
      </w:r>
      <w:r w:rsidR="000B52AB">
        <w:t xml:space="preserve"> with intellectual disability are also over-represented in youth justice. </w:t>
      </w:r>
    </w:p>
    <w:p w14:paraId="0C4A4CA1" w14:textId="77777777" w:rsidR="001D4B28" w:rsidRDefault="001D4B28" w:rsidP="001D4B28">
      <w:r>
        <w:t xml:space="preserve">A </w:t>
      </w:r>
      <w:r w:rsidR="00831151">
        <w:t>Department of Health and Human Services (</w:t>
      </w:r>
      <w:r>
        <w:t>DHHS</w:t>
      </w:r>
      <w:r w:rsidR="00831151">
        <w:t>)</w:t>
      </w:r>
      <w:r>
        <w:t xml:space="preserve"> snapshot survey of 176 young people on sentence on and remand on October 2015 shows:</w:t>
      </w:r>
    </w:p>
    <w:p w14:paraId="196A6AA6" w14:textId="4F95D4D1" w:rsidR="001D4B28" w:rsidRPr="00C22931" w:rsidRDefault="001D4B28" w:rsidP="00CB3B62">
      <w:pPr>
        <w:pStyle w:val="ListParagraph"/>
        <w:numPr>
          <w:ilvl w:val="0"/>
          <w:numId w:val="5"/>
        </w:numPr>
      </w:pPr>
      <w:r w:rsidRPr="00C22931">
        <w:t>63 per cent were victims of abuse, trauma or neglect</w:t>
      </w:r>
      <w:r w:rsidR="00777244">
        <w:t xml:space="preserve">. </w:t>
      </w:r>
    </w:p>
    <w:p w14:paraId="228A1196" w14:textId="77777777" w:rsidR="001D4B28" w:rsidRPr="00C22931" w:rsidRDefault="001D4B28" w:rsidP="00CB3B62">
      <w:pPr>
        <w:pStyle w:val="ListParagraph"/>
        <w:numPr>
          <w:ilvl w:val="1"/>
          <w:numId w:val="5"/>
        </w:numPr>
      </w:pPr>
      <w:r w:rsidRPr="00C22931">
        <w:t xml:space="preserve">45 per cent had been subject to a previous child protection order </w:t>
      </w:r>
    </w:p>
    <w:p w14:paraId="25D17292" w14:textId="77777777" w:rsidR="001D4B28" w:rsidRPr="00C22931" w:rsidRDefault="001D4B28" w:rsidP="00CB3B62">
      <w:pPr>
        <w:pStyle w:val="ListParagraph"/>
        <w:numPr>
          <w:ilvl w:val="1"/>
          <w:numId w:val="5"/>
        </w:numPr>
      </w:pPr>
      <w:r w:rsidRPr="00C22931">
        <w:t>19 per cent were subject to a current child protection order</w:t>
      </w:r>
    </w:p>
    <w:p w14:paraId="6F252506" w14:textId="77777777" w:rsidR="001D4B28" w:rsidRPr="00C22931" w:rsidRDefault="001D4B28" w:rsidP="00CB3B62">
      <w:pPr>
        <w:pStyle w:val="ListParagraph"/>
        <w:numPr>
          <w:ilvl w:val="0"/>
          <w:numId w:val="5"/>
        </w:numPr>
      </w:pPr>
      <w:r w:rsidRPr="00C22931">
        <w:t>62 per cent had previously been suspended or expelled from school</w:t>
      </w:r>
    </w:p>
    <w:p w14:paraId="4BA47251" w14:textId="0688C05D" w:rsidR="001D4B28" w:rsidRPr="00CE31EE" w:rsidRDefault="001D4B28" w:rsidP="00CE31EE">
      <w:pPr>
        <w:pStyle w:val="ListParagraph"/>
        <w:numPr>
          <w:ilvl w:val="0"/>
          <w:numId w:val="5"/>
        </w:numPr>
      </w:pPr>
      <w:r w:rsidRPr="00CE31EE">
        <w:t>30 per cent presented with mental health issues</w:t>
      </w:r>
      <w:r w:rsidR="00CE31EE" w:rsidRPr="00CE31EE">
        <w:t xml:space="preserve"> and </w:t>
      </w:r>
      <w:r w:rsidRPr="00CE31EE">
        <w:t xml:space="preserve">18 per cent had a history of </w:t>
      </w:r>
      <w:r w:rsidR="004165CF" w:rsidRPr="00CE31EE">
        <w:t>self-harm</w:t>
      </w:r>
      <w:r w:rsidRPr="00CE31EE">
        <w:t xml:space="preserve"> or suicidal ideation</w:t>
      </w:r>
    </w:p>
    <w:p w14:paraId="01628001" w14:textId="50C899FB" w:rsidR="001D4B28" w:rsidRPr="00CE31EE" w:rsidRDefault="001D4B28" w:rsidP="00CE31EE">
      <w:pPr>
        <w:pStyle w:val="ListParagraph"/>
        <w:numPr>
          <w:ilvl w:val="0"/>
          <w:numId w:val="5"/>
        </w:numPr>
      </w:pPr>
      <w:r w:rsidRPr="00CE31EE">
        <w:t>24 per cent presented with issues concerning their intellectual functioning</w:t>
      </w:r>
      <w:r w:rsidR="00CE31EE" w:rsidRPr="00CE31EE">
        <w:t xml:space="preserve"> and </w:t>
      </w:r>
      <w:r w:rsidRPr="00CE31EE">
        <w:t>11 per cent were registered with Disability Services</w:t>
      </w:r>
    </w:p>
    <w:p w14:paraId="612AB352" w14:textId="5BE4CB65" w:rsidR="001D4B28" w:rsidRPr="00C22931" w:rsidRDefault="001D4B28" w:rsidP="00CB3B62">
      <w:pPr>
        <w:pStyle w:val="ListParagraph"/>
        <w:numPr>
          <w:ilvl w:val="0"/>
          <w:numId w:val="5"/>
        </w:numPr>
      </w:pPr>
      <w:r w:rsidRPr="00C22931">
        <w:t>66 per cent had a history of both alcohol and drug misuse</w:t>
      </w:r>
      <w:r w:rsidR="00CE31EE">
        <w:t xml:space="preserve"> and 90 per cent were under the influence of alcohol, drugs or both alcohol and drugs when they offended.</w:t>
      </w:r>
    </w:p>
    <w:p w14:paraId="081C0B12" w14:textId="735BC3D8" w:rsidR="001D4B28" w:rsidRPr="00C22931" w:rsidRDefault="001D4B28" w:rsidP="00CB3B62">
      <w:pPr>
        <w:pStyle w:val="ListParagraph"/>
        <w:numPr>
          <w:ilvl w:val="0"/>
          <w:numId w:val="5"/>
        </w:numPr>
      </w:pPr>
      <w:r w:rsidRPr="00C22931">
        <w:t xml:space="preserve">12 per cent were </w:t>
      </w:r>
      <w:r w:rsidR="00CE31EE">
        <w:t xml:space="preserve">young </w:t>
      </w:r>
      <w:r w:rsidRPr="00C22931">
        <w:t>parents</w:t>
      </w:r>
    </w:p>
    <w:p w14:paraId="36E172F4" w14:textId="77777777" w:rsidR="001D4B28" w:rsidRPr="00C22931" w:rsidRDefault="001D4B28" w:rsidP="00CB3B62">
      <w:pPr>
        <w:pStyle w:val="ListParagraph"/>
        <w:numPr>
          <w:ilvl w:val="0"/>
          <w:numId w:val="5"/>
        </w:numPr>
      </w:pPr>
      <w:r w:rsidRPr="00C22931">
        <w:t>38 per cent had a family history of parental or sibling imprisonment</w:t>
      </w:r>
    </w:p>
    <w:p w14:paraId="0203C413" w14:textId="77777777" w:rsidR="001D4B28" w:rsidRPr="00C22931" w:rsidRDefault="001D4B28" w:rsidP="00CB3B62">
      <w:pPr>
        <w:pStyle w:val="ListParagraph"/>
        <w:numPr>
          <w:ilvl w:val="0"/>
          <w:numId w:val="5"/>
        </w:numPr>
      </w:pPr>
      <w:r w:rsidRPr="00C22931">
        <w:t>12 per cent spoke English as a second language</w:t>
      </w:r>
    </w:p>
    <w:p w14:paraId="6585C0AD" w14:textId="77777777" w:rsidR="001D4B28" w:rsidRPr="00C22931" w:rsidRDefault="001D4B28" w:rsidP="00CB3B62">
      <w:pPr>
        <w:pStyle w:val="ListParagraph"/>
        <w:numPr>
          <w:ilvl w:val="0"/>
          <w:numId w:val="5"/>
        </w:numPr>
      </w:pPr>
      <w:r w:rsidRPr="00C22931">
        <w:t>10 per cent were homeless with no fixed address or residing in insecure housing prior to custody.</w:t>
      </w:r>
      <w:r w:rsidRPr="00C22931">
        <w:rPr>
          <w:rStyle w:val="FootnoteReference"/>
        </w:rPr>
        <w:footnoteReference w:id="14"/>
      </w:r>
    </w:p>
    <w:p w14:paraId="24143C11" w14:textId="41FE19F5" w:rsidR="007708F3" w:rsidRDefault="007708F3" w:rsidP="007708F3">
      <w:pPr>
        <w:pStyle w:val="Heading2"/>
      </w:pPr>
      <w:bookmarkStart w:id="5" w:name="_Toc476310183"/>
      <w:r>
        <w:lastRenderedPageBreak/>
        <w:t>T</w:t>
      </w:r>
      <w:r w:rsidRPr="00FD3E90">
        <w:t>ake a long-term</w:t>
      </w:r>
      <w:r w:rsidR="00EF2D78">
        <w:t xml:space="preserve">, evidence-based </w:t>
      </w:r>
      <w:r w:rsidRPr="00FD3E90">
        <w:t>approach</w:t>
      </w:r>
      <w:bookmarkEnd w:id="5"/>
      <w:r w:rsidRPr="003C1C6B">
        <w:t xml:space="preserve"> </w:t>
      </w:r>
    </w:p>
    <w:p w14:paraId="1A2FFAE1" w14:textId="3D61A47E" w:rsidR="006B15EE" w:rsidRDefault="006B15EE" w:rsidP="006B15EE">
      <w:r w:rsidRPr="003C1C6B">
        <w:t xml:space="preserve">We urge the </w:t>
      </w:r>
      <w:r w:rsidR="00EF2D78">
        <w:t xml:space="preserve">Victorian </w:t>
      </w:r>
      <w:r w:rsidRPr="003C1C6B">
        <w:t xml:space="preserve">government to avoid making hasty, </w:t>
      </w:r>
      <w:r>
        <w:t>regressive</w:t>
      </w:r>
      <w:r w:rsidRPr="003C1C6B">
        <w:t xml:space="preserve"> changes </w:t>
      </w:r>
      <w:r>
        <w:t xml:space="preserve">and </w:t>
      </w:r>
      <w:r w:rsidR="00701A6C">
        <w:t xml:space="preserve">to </w:t>
      </w:r>
      <w:r>
        <w:t xml:space="preserve">consider the findings </w:t>
      </w:r>
      <w:r w:rsidR="00FD3E90">
        <w:t xml:space="preserve">and recommendations </w:t>
      </w:r>
      <w:r>
        <w:t xml:space="preserve">of this </w:t>
      </w:r>
      <w:r w:rsidRPr="003C1C6B">
        <w:t xml:space="preserve">inquiry </w:t>
      </w:r>
      <w:r>
        <w:t xml:space="preserve">along with the </w:t>
      </w:r>
      <w:r w:rsidR="00FD3E90">
        <w:t>r</w:t>
      </w:r>
      <w:r w:rsidRPr="0090094D">
        <w:t xml:space="preserve">eview of youth support, youth diversion and youth justice being undertaken by Penny </w:t>
      </w:r>
      <w:proofErr w:type="spellStart"/>
      <w:r w:rsidRPr="0090094D">
        <w:t>Armytage</w:t>
      </w:r>
      <w:proofErr w:type="spellEnd"/>
      <w:r w:rsidRPr="0090094D">
        <w:t xml:space="preserve"> and Professor James </w:t>
      </w:r>
      <w:proofErr w:type="spellStart"/>
      <w:r w:rsidRPr="0090094D">
        <w:t>Ogloff</w:t>
      </w:r>
      <w:proofErr w:type="spellEnd"/>
      <w:r w:rsidRPr="003C1C6B">
        <w:t xml:space="preserve">, </w:t>
      </w:r>
      <w:r>
        <w:t xml:space="preserve">the </w:t>
      </w:r>
      <w:r w:rsidRPr="0090094D">
        <w:t>Commission for Children and Young People’s inquiry into the use of isolation, separation and lockdowns in youth justice centres, and t</w:t>
      </w:r>
      <w:r>
        <w:t xml:space="preserve">he Ombudsman’s report on youth justice facilities at the Grevillea unit of Barwon Prison, Malmsbury and Parkville. </w:t>
      </w:r>
    </w:p>
    <w:p w14:paraId="7BDD246A" w14:textId="5B13E543" w:rsidR="0090094D" w:rsidRDefault="0090094D">
      <w:pPr>
        <w:spacing w:before="200"/>
      </w:pPr>
      <w:r>
        <w:t xml:space="preserve">VCOSS along with </w:t>
      </w:r>
      <w:r w:rsidRPr="003C1C6B">
        <w:t xml:space="preserve">Youth </w:t>
      </w:r>
      <w:r w:rsidRPr="002F685A">
        <w:t>Affairs Council of Victoria (</w:t>
      </w:r>
      <w:proofErr w:type="spellStart"/>
      <w:r w:rsidRPr="002F685A">
        <w:t>YACVic</w:t>
      </w:r>
      <w:proofErr w:type="spellEnd"/>
      <w:r w:rsidRPr="002F685A">
        <w:t xml:space="preserve">), Smart Justice for Young People </w:t>
      </w:r>
      <w:r w:rsidR="00D94184">
        <w:t xml:space="preserve">(SJ4YP) </w:t>
      </w:r>
      <w:r w:rsidRPr="002F685A">
        <w:t xml:space="preserve">and the Federation of Community Legal Centres held a joint consultation with over 65 community members and youth </w:t>
      </w:r>
      <w:r w:rsidR="007708F3">
        <w:t>justice experts. Our submission</w:t>
      </w:r>
      <w:r>
        <w:t xml:space="preserve"> draws on their frontline experience working with vulnerable children and young people and </w:t>
      </w:r>
      <w:r w:rsidR="00701A6C">
        <w:t>their direct involvement with the</w:t>
      </w:r>
      <w:r>
        <w:t xml:space="preserve"> youth justice system</w:t>
      </w:r>
      <w:r w:rsidR="00701A6C">
        <w:t xml:space="preserve"> and youth justice facilities</w:t>
      </w:r>
      <w:r>
        <w:t>.</w:t>
      </w:r>
    </w:p>
    <w:p w14:paraId="7BADCEED" w14:textId="207C2894" w:rsidR="0090094D" w:rsidRDefault="007708F3" w:rsidP="0090094D">
      <w:r>
        <w:t xml:space="preserve">Our submission </w:t>
      </w:r>
      <w:r w:rsidRPr="00FD3E90">
        <w:t>call</w:t>
      </w:r>
      <w:r>
        <w:t>s</w:t>
      </w:r>
      <w:r w:rsidRPr="00FD3E90">
        <w:t xml:space="preserve"> on the government to take a long-term approach</w:t>
      </w:r>
      <w:r w:rsidR="00B66064">
        <w:t xml:space="preserve"> to youth justice</w:t>
      </w:r>
      <w:r w:rsidRPr="00FD3E90">
        <w:t>, based on</w:t>
      </w:r>
      <w:r w:rsidR="00B66064">
        <w:t xml:space="preserve"> the evidence of best practice </w:t>
      </w:r>
      <w:r w:rsidRPr="00FD3E90">
        <w:t>about what works to pre</w:t>
      </w:r>
      <w:r w:rsidR="00406A49">
        <w:t>vent offending and</w:t>
      </w:r>
      <w:r w:rsidRPr="00FD3E90">
        <w:t xml:space="preserve"> reoffending</w:t>
      </w:r>
      <w:r w:rsidR="00B66064">
        <w:t>.</w:t>
      </w:r>
      <w:r w:rsidRPr="00FD3E90">
        <w:t xml:space="preserve"> </w:t>
      </w:r>
      <w:r w:rsidR="0090094D" w:rsidRPr="00E811EC">
        <w:t xml:space="preserve">By investing more in prevention and intervention initiatives which tackle </w:t>
      </w:r>
      <w:r w:rsidR="0090094D" w:rsidRPr="00F31CE5">
        <w:t xml:space="preserve">the causes of crime </w:t>
      </w:r>
      <w:r w:rsidR="0090094D" w:rsidRPr="00E811EC">
        <w:t xml:space="preserve">and rehabilitate </w:t>
      </w:r>
      <w:r w:rsidR="0090094D">
        <w:t xml:space="preserve">children and </w:t>
      </w:r>
      <w:r w:rsidR="0090094D" w:rsidRPr="00E811EC">
        <w:t>young people who have come in contact with the system, w</w:t>
      </w:r>
      <w:r w:rsidR="0090094D">
        <w:t xml:space="preserve">e can create safer communities, and </w:t>
      </w:r>
      <w:r w:rsidR="0090094D" w:rsidRPr="00E811EC">
        <w:t xml:space="preserve">help place these </w:t>
      </w:r>
      <w:r w:rsidR="0090094D">
        <w:t>young people</w:t>
      </w:r>
      <w:r w:rsidR="0090094D" w:rsidRPr="00E811EC">
        <w:t xml:space="preserve"> on more positive life trajectories. </w:t>
      </w:r>
      <w:r w:rsidR="00040952">
        <w:t xml:space="preserve"> </w:t>
      </w:r>
    </w:p>
    <w:p w14:paraId="10BE45F2" w14:textId="6DCAFF40" w:rsidR="00AD16A5" w:rsidRDefault="00AD16A5">
      <w:pPr>
        <w:spacing w:before="200"/>
        <w:rPr>
          <w:b/>
          <w:color w:val="D84920"/>
          <w:sz w:val="50"/>
          <w:szCs w:val="50"/>
        </w:rPr>
      </w:pPr>
      <w:r>
        <w:br w:type="page"/>
      </w:r>
    </w:p>
    <w:p w14:paraId="44D5924F" w14:textId="77777777" w:rsidR="009D46FC" w:rsidRDefault="002F685A" w:rsidP="009D46FC">
      <w:pPr>
        <w:pStyle w:val="Heading1"/>
      </w:pPr>
      <w:bookmarkStart w:id="6" w:name="_Toc476310184"/>
      <w:r>
        <w:lastRenderedPageBreak/>
        <w:t>Recommendations</w:t>
      </w:r>
      <w:bookmarkEnd w:id="6"/>
    </w:p>
    <w:p w14:paraId="24EB9905" w14:textId="77777777" w:rsidR="00B663BA" w:rsidRPr="00D36697" w:rsidRDefault="00B663BA" w:rsidP="00B663BA">
      <w:pPr>
        <w:spacing w:before="0" w:after="160" w:line="259" w:lineRule="auto"/>
      </w:pPr>
      <w:r w:rsidRPr="00D36697">
        <w:rPr>
          <w:b/>
          <w:color w:val="E36C0A" w:themeColor="accent6" w:themeShade="BF"/>
          <w:sz w:val="28"/>
          <w:szCs w:val="28"/>
        </w:rPr>
        <w:t xml:space="preserve">Better care in youth justice centres </w:t>
      </w:r>
    </w:p>
    <w:p w14:paraId="4AB90329" w14:textId="57B5FF6C" w:rsidR="00D47813" w:rsidRPr="00535357" w:rsidRDefault="00D47813" w:rsidP="00D47813">
      <w:pPr>
        <w:pStyle w:val="ListParagraph"/>
        <w:numPr>
          <w:ilvl w:val="0"/>
          <w:numId w:val="26"/>
        </w:numPr>
        <w:spacing w:before="0" w:after="160" w:line="259" w:lineRule="auto"/>
      </w:pPr>
      <w:r w:rsidRPr="00535357">
        <w:t>Immediately transfer chil</w:t>
      </w:r>
      <w:r w:rsidR="004E2C9E">
        <w:t>dren out of adult Barwon Prison</w:t>
      </w:r>
    </w:p>
    <w:p w14:paraId="7D5A2BF4" w14:textId="43A67DB5" w:rsidR="00B663BA" w:rsidRPr="00535357" w:rsidRDefault="00B663BA" w:rsidP="00B663BA">
      <w:pPr>
        <w:pStyle w:val="ListParagraph"/>
        <w:numPr>
          <w:ilvl w:val="0"/>
          <w:numId w:val="26"/>
        </w:numPr>
        <w:spacing w:before="0" w:after="160" w:line="259" w:lineRule="auto"/>
      </w:pPr>
      <w:r w:rsidRPr="00535357">
        <w:t>Use detention as a last resort</w:t>
      </w:r>
      <w:r w:rsidR="003F516F">
        <w:t xml:space="preserve"> because if harm</w:t>
      </w:r>
      <w:r w:rsidR="004E2C9E">
        <w:t>s the changes of rehabilitation</w:t>
      </w:r>
    </w:p>
    <w:p w14:paraId="0755395D" w14:textId="32E52FCA" w:rsidR="00B663BA" w:rsidRPr="00535357" w:rsidRDefault="00B663BA" w:rsidP="00B663BA">
      <w:pPr>
        <w:pStyle w:val="ListParagraph"/>
        <w:numPr>
          <w:ilvl w:val="0"/>
          <w:numId w:val="26"/>
        </w:numPr>
        <w:spacing w:before="0" w:after="160" w:line="259" w:lineRule="auto"/>
      </w:pPr>
      <w:r w:rsidRPr="00535357">
        <w:t>Develop and implement a therapeutic model of care ac</w:t>
      </w:r>
      <w:r w:rsidR="004E2C9E">
        <w:t>ross all youth justice settings</w:t>
      </w:r>
    </w:p>
    <w:p w14:paraId="6B8652DD" w14:textId="179A6D70" w:rsidR="00B663BA" w:rsidRPr="00535357" w:rsidRDefault="00B663BA" w:rsidP="00B663BA">
      <w:pPr>
        <w:pStyle w:val="ListParagraph"/>
        <w:numPr>
          <w:ilvl w:val="0"/>
          <w:numId w:val="26"/>
        </w:numPr>
        <w:spacing w:before="0" w:after="160" w:line="259" w:lineRule="auto"/>
      </w:pPr>
      <w:r w:rsidRPr="00535357">
        <w:t>Undertake comprehensive assessments of all young people entering youth justice facilities and implement tailored, multidisciplinary rehabilit</w:t>
      </w:r>
      <w:r w:rsidR="004E2C9E">
        <w:t>ative intervention and support</w:t>
      </w:r>
    </w:p>
    <w:p w14:paraId="4807CD55" w14:textId="7AFF4EAF" w:rsidR="003F516F" w:rsidRDefault="003F516F" w:rsidP="00B663BA">
      <w:pPr>
        <w:pStyle w:val="ListParagraph"/>
        <w:numPr>
          <w:ilvl w:val="0"/>
          <w:numId w:val="26"/>
        </w:numPr>
        <w:spacing w:before="0" w:after="160" w:line="259" w:lineRule="auto"/>
      </w:pPr>
      <w:r>
        <w:t>Keep</w:t>
      </w:r>
      <w:r w:rsidR="00B663BA" w:rsidRPr="00535357">
        <w:t xml:space="preserve"> Parkville College </w:t>
      </w:r>
    </w:p>
    <w:p w14:paraId="1B25DD53" w14:textId="1A6525A6" w:rsidR="00B663BA" w:rsidRPr="00535357" w:rsidRDefault="003F516F" w:rsidP="00B663BA">
      <w:pPr>
        <w:pStyle w:val="ListParagraph"/>
        <w:numPr>
          <w:ilvl w:val="0"/>
          <w:numId w:val="26"/>
        </w:numPr>
        <w:spacing w:before="0" w:after="160" w:line="259" w:lineRule="auto"/>
      </w:pPr>
      <w:r>
        <w:t>P</w:t>
      </w:r>
      <w:r w:rsidR="00B663BA" w:rsidRPr="00535357">
        <w:t>rovide all young people in justice facilities with access meaningful education</w:t>
      </w:r>
    </w:p>
    <w:p w14:paraId="16A88881" w14:textId="10AB2CCD" w:rsidR="00B663BA" w:rsidRPr="00535357" w:rsidRDefault="003F516F" w:rsidP="00B663BA">
      <w:pPr>
        <w:pStyle w:val="ListParagraph"/>
        <w:numPr>
          <w:ilvl w:val="0"/>
          <w:numId w:val="26"/>
        </w:numPr>
        <w:spacing w:before="0" w:after="160" w:line="259" w:lineRule="auto"/>
      </w:pPr>
      <w:r>
        <w:t>Maintain</w:t>
      </w:r>
      <w:r w:rsidR="00B663BA" w:rsidRPr="00535357">
        <w:t xml:space="preserve"> low r</w:t>
      </w:r>
      <w:r w:rsidR="004E2C9E">
        <w:t>atios of staff to young people</w:t>
      </w:r>
    </w:p>
    <w:p w14:paraId="5A897E0D" w14:textId="34D7912B" w:rsidR="00B663BA" w:rsidRPr="00535357" w:rsidRDefault="00B663BA" w:rsidP="00B663BA">
      <w:pPr>
        <w:pStyle w:val="ListParagraph"/>
        <w:numPr>
          <w:ilvl w:val="0"/>
          <w:numId w:val="26"/>
        </w:numPr>
        <w:spacing w:before="0" w:after="160" w:line="259" w:lineRule="auto"/>
      </w:pPr>
      <w:r w:rsidRPr="00535357">
        <w:t>Ensure staff are suitably qualified and trained in trauma</w:t>
      </w:r>
      <w:r w:rsidR="004E2C9E">
        <w:t>-informed therapeutic practice</w:t>
      </w:r>
    </w:p>
    <w:p w14:paraId="33C8CAC5" w14:textId="1D8B5B55" w:rsidR="003F516F" w:rsidRDefault="00B663BA" w:rsidP="00B663BA">
      <w:pPr>
        <w:pStyle w:val="ListParagraph"/>
        <w:numPr>
          <w:ilvl w:val="0"/>
          <w:numId w:val="26"/>
        </w:numPr>
        <w:spacing w:before="0" w:after="160" w:line="259" w:lineRule="auto"/>
      </w:pPr>
      <w:r w:rsidRPr="00535357">
        <w:t>Prohibit the use of solitary confinement of any duration for children</w:t>
      </w:r>
    </w:p>
    <w:p w14:paraId="67B5939C" w14:textId="32E7FF5D" w:rsidR="00B663BA" w:rsidRPr="00535357" w:rsidRDefault="003F516F" w:rsidP="00B663BA">
      <w:pPr>
        <w:pStyle w:val="ListParagraph"/>
        <w:numPr>
          <w:ilvl w:val="0"/>
          <w:numId w:val="26"/>
        </w:numPr>
        <w:spacing w:before="0" w:after="160" w:line="259" w:lineRule="auto"/>
      </w:pPr>
      <w:r>
        <w:t>I</w:t>
      </w:r>
      <w:r w:rsidR="00B663BA" w:rsidRPr="00535357">
        <w:t>ntroduce clear maximum time limits on the use of other forms of isolation against a y</w:t>
      </w:r>
      <w:r w:rsidR="004E2C9E">
        <w:t>oung person under the age of 18</w:t>
      </w:r>
    </w:p>
    <w:p w14:paraId="3BECAE2D" w14:textId="6A405469" w:rsidR="00B663BA" w:rsidRPr="00535357" w:rsidRDefault="00B663BA" w:rsidP="00B663BA">
      <w:pPr>
        <w:pStyle w:val="ListParagraph"/>
        <w:numPr>
          <w:ilvl w:val="0"/>
          <w:numId w:val="26"/>
        </w:numPr>
        <w:spacing w:before="0" w:after="160" w:line="259" w:lineRule="auto"/>
      </w:pPr>
      <w:r w:rsidRPr="00535357">
        <w:t xml:space="preserve">Design youth justice facilities to support a therapeutic approach which is age appropriate and </w:t>
      </w:r>
      <w:r w:rsidR="004E2C9E">
        <w:t>able to cater for diverse needs</w:t>
      </w:r>
    </w:p>
    <w:p w14:paraId="7215FB40" w14:textId="4F4044C5" w:rsidR="00B663BA" w:rsidRDefault="00B663BA" w:rsidP="00B663BA">
      <w:pPr>
        <w:pStyle w:val="ListParagraph"/>
        <w:numPr>
          <w:ilvl w:val="0"/>
          <w:numId w:val="26"/>
        </w:numPr>
        <w:spacing w:before="0" w:after="160" w:line="259" w:lineRule="auto"/>
      </w:pPr>
      <w:r w:rsidRPr="00535357">
        <w:t xml:space="preserve">Provide adequate transitional planning and post-care support for all young people leaving </w:t>
      </w:r>
      <w:r w:rsidR="004E2C9E">
        <w:t>youth justice centres</w:t>
      </w:r>
    </w:p>
    <w:p w14:paraId="3011BF09" w14:textId="1CF920E9" w:rsidR="009D46FC" w:rsidRPr="006D3FB2" w:rsidRDefault="00151997" w:rsidP="006D3FB2">
      <w:pPr>
        <w:rPr>
          <w:b/>
          <w:color w:val="E36C0A" w:themeColor="accent6" w:themeShade="BF"/>
          <w:sz w:val="28"/>
          <w:szCs w:val="28"/>
        </w:rPr>
      </w:pPr>
      <w:r>
        <w:rPr>
          <w:b/>
          <w:color w:val="E36C0A" w:themeColor="accent6" w:themeShade="BF"/>
          <w:sz w:val="28"/>
          <w:szCs w:val="28"/>
        </w:rPr>
        <w:t>C</w:t>
      </w:r>
      <w:r w:rsidR="009D46FC" w:rsidRPr="006D3FB2">
        <w:rPr>
          <w:b/>
          <w:color w:val="E36C0A" w:themeColor="accent6" w:themeShade="BF"/>
          <w:sz w:val="28"/>
          <w:szCs w:val="28"/>
        </w:rPr>
        <w:t xml:space="preserve">hildren and young people </w:t>
      </w:r>
      <w:r>
        <w:rPr>
          <w:b/>
          <w:color w:val="E36C0A" w:themeColor="accent6" w:themeShade="BF"/>
          <w:sz w:val="28"/>
          <w:szCs w:val="28"/>
        </w:rPr>
        <w:t>need a specialised youth justice system</w:t>
      </w:r>
    </w:p>
    <w:p w14:paraId="19370166" w14:textId="2D01DA69" w:rsidR="00826FA7" w:rsidRDefault="003F516F" w:rsidP="009D46FC">
      <w:pPr>
        <w:pStyle w:val="ListParagraph"/>
        <w:numPr>
          <w:ilvl w:val="0"/>
          <w:numId w:val="26"/>
        </w:numPr>
        <w:spacing w:before="0" w:after="160" w:line="259" w:lineRule="auto"/>
      </w:pPr>
      <w:r>
        <w:t>M</w:t>
      </w:r>
      <w:r w:rsidR="009D46FC" w:rsidRPr="00535357">
        <w:t>anage Victoria’s youth justice system separately to the adult prison system</w:t>
      </w:r>
      <w:r w:rsidR="00826FA7">
        <w:t>,</w:t>
      </w:r>
      <w:r w:rsidR="009D46FC" w:rsidRPr="00535357">
        <w:t xml:space="preserve"> </w:t>
      </w:r>
      <w:r>
        <w:t xml:space="preserve">with a </w:t>
      </w:r>
      <w:r w:rsidR="009D46FC" w:rsidRPr="00535357">
        <w:t>focus on rehabilitation and development</w:t>
      </w:r>
    </w:p>
    <w:p w14:paraId="6319A937" w14:textId="094D4BEF" w:rsidR="009D46FC" w:rsidRPr="00535357" w:rsidRDefault="00826FA7" w:rsidP="009D46FC">
      <w:pPr>
        <w:pStyle w:val="ListParagraph"/>
        <w:numPr>
          <w:ilvl w:val="0"/>
          <w:numId w:val="26"/>
        </w:numPr>
        <w:spacing w:before="0" w:after="160" w:line="259" w:lineRule="auto"/>
      </w:pPr>
      <w:r>
        <w:t>R</w:t>
      </w:r>
      <w:r w:rsidR="009D46FC" w:rsidRPr="00535357">
        <w:t xml:space="preserve">etain </w:t>
      </w:r>
      <w:r w:rsidR="003F516F">
        <w:t xml:space="preserve">administration responsibility for </w:t>
      </w:r>
      <w:r w:rsidR="009D46FC" w:rsidRPr="00535357">
        <w:t>youth justice in the Departmen</w:t>
      </w:r>
      <w:r w:rsidR="004E2C9E">
        <w:t>t of Health and Human Services</w:t>
      </w:r>
    </w:p>
    <w:p w14:paraId="6A7D8117" w14:textId="04141EFE" w:rsidR="009D46FC" w:rsidRPr="00535357" w:rsidRDefault="009D46FC" w:rsidP="009D46FC">
      <w:pPr>
        <w:pStyle w:val="ListParagraph"/>
        <w:numPr>
          <w:ilvl w:val="0"/>
          <w:numId w:val="26"/>
        </w:numPr>
        <w:spacing w:before="0" w:after="160" w:line="259" w:lineRule="auto"/>
      </w:pPr>
      <w:r w:rsidRPr="00535357">
        <w:t>Retain the dual track system</w:t>
      </w:r>
      <w:r w:rsidR="003F516F">
        <w:t>, allowing young offenders aged 18-20 to serve custodial sentences in a youth justice facility</w:t>
      </w:r>
      <w:r w:rsidR="004E2C9E">
        <w:t xml:space="preserve"> where appropriate</w:t>
      </w:r>
    </w:p>
    <w:p w14:paraId="5FDE2B86" w14:textId="738F92AA" w:rsidR="009D46FC" w:rsidRPr="00535357" w:rsidRDefault="009D46FC" w:rsidP="009D46FC">
      <w:pPr>
        <w:pStyle w:val="ListParagraph"/>
        <w:numPr>
          <w:ilvl w:val="0"/>
          <w:numId w:val="26"/>
        </w:numPr>
        <w:spacing w:before="0" w:after="160" w:line="259" w:lineRule="auto"/>
      </w:pPr>
      <w:r w:rsidRPr="00535357">
        <w:t>Raise the minimum age a child can be charged with a criminal offence to 12 and identify age-appropriate justice system response</w:t>
      </w:r>
      <w:r w:rsidR="004E2C9E">
        <w:t>s for children aged 10–12 years</w:t>
      </w:r>
    </w:p>
    <w:p w14:paraId="3B1567EB" w14:textId="65FA6F6E" w:rsidR="009D46FC" w:rsidRPr="00535357" w:rsidRDefault="009D46FC" w:rsidP="009D46FC">
      <w:pPr>
        <w:pStyle w:val="ListParagraph"/>
        <w:numPr>
          <w:ilvl w:val="0"/>
          <w:numId w:val="26"/>
        </w:numPr>
        <w:spacing w:before="0" w:after="160" w:line="259" w:lineRule="auto"/>
      </w:pPr>
      <w:r w:rsidRPr="00535357">
        <w:t>Ensure there are appropriate mechanisms in place for children and young people involved in youth justice to be heard</w:t>
      </w:r>
    </w:p>
    <w:p w14:paraId="3F4074DE" w14:textId="5391A98C" w:rsidR="009D46FC" w:rsidRPr="00535357" w:rsidRDefault="009D46FC" w:rsidP="009D46FC">
      <w:pPr>
        <w:pStyle w:val="ListParagraph"/>
        <w:numPr>
          <w:ilvl w:val="0"/>
          <w:numId w:val="26"/>
        </w:numPr>
        <w:spacing w:before="0" w:after="160" w:line="259" w:lineRule="auto"/>
      </w:pPr>
      <w:r w:rsidRPr="00535357">
        <w:t>Meaningful consult with children and young people with experience of the youth justice system</w:t>
      </w:r>
      <w:r w:rsidR="003F516F">
        <w:t xml:space="preserve"> to better inform systems design</w:t>
      </w:r>
    </w:p>
    <w:p w14:paraId="0EE0B65B" w14:textId="77777777" w:rsidR="00F21626" w:rsidRPr="001213E5" w:rsidRDefault="00F21626" w:rsidP="001213E5">
      <w:pPr>
        <w:rPr>
          <w:color w:val="E36C0A" w:themeColor="accent6" w:themeShade="BF"/>
          <w:sz w:val="28"/>
          <w:szCs w:val="28"/>
        </w:rPr>
      </w:pPr>
      <w:r w:rsidRPr="001213E5">
        <w:rPr>
          <w:b/>
          <w:color w:val="E36C0A" w:themeColor="accent6" w:themeShade="BF"/>
          <w:sz w:val="28"/>
          <w:szCs w:val="28"/>
        </w:rPr>
        <w:t>Provide comprehensive prevention, early intervention and diversion programs</w:t>
      </w:r>
    </w:p>
    <w:p w14:paraId="32D4FE2B" w14:textId="3D8491BD" w:rsidR="009D46FC" w:rsidRPr="00535357" w:rsidRDefault="003F516F" w:rsidP="009D46FC">
      <w:pPr>
        <w:pStyle w:val="ListParagraph"/>
        <w:numPr>
          <w:ilvl w:val="0"/>
          <w:numId w:val="26"/>
        </w:numPr>
        <w:spacing w:before="0" w:after="160" w:line="259" w:lineRule="auto"/>
      </w:pPr>
      <w:r>
        <w:t>I</w:t>
      </w:r>
      <w:r w:rsidR="009D46FC" w:rsidRPr="00535357">
        <w:t xml:space="preserve">nvest </w:t>
      </w:r>
      <w:r>
        <w:t>in</w:t>
      </w:r>
      <w:r w:rsidRPr="00535357">
        <w:t xml:space="preserve"> </w:t>
      </w:r>
      <w:r w:rsidR="009D46FC" w:rsidRPr="00535357">
        <w:t>expand</w:t>
      </w:r>
      <w:r>
        <w:t>ing</w:t>
      </w:r>
      <w:r w:rsidR="009D46FC" w:rsidRPr="00535357">
        <w:t xml:space="preserve"> crime prevention, early intervention and diversion programs </w:t>
      </w:r>
      <w:r>
        <w:t>for an integrated support continuum address the causes and risk fac</w:t>
      </w:r>
      <w:r w:rsidR="004E2C9E">
        <w:t>tors underlying youth offending</w:t>
      </w:r>
    </w:p>
    <w:p w14:paraId="758ED55E" w14:textId="6F9202C0" w:rsidR="009D46FC" w:rsidRPr="00535357" w:rsidRDefault="009D46FC" w:rsidP="009D46FC">
      <w:pPr>
        <w:pStyle w:val="ListParagraph"/>
        <w:numPr>
          <w:ilvl w:val="0"/>
          <w:numId w:val="26"/>
        </w:numPr>
        <w:spacing w:before="0" w:after="160" w:line="259" w:lineRule="auto"/>
      </w:pPr>
      <w:r w:rsidRPr="00535357">
        <w:t xml:space="preserve">Invest in </w:t>
      </w:r>
      <w:r w:rsidR="003F516F">
        <w:t>children’s</w:t>
      </w:r>
      <w:r w:rsidRPr="00535357">
        <w:t xml:space="preserve"> early years to prevent harm and reduc</w:t>
      </w:r>
      <w:r w:rsidR="004E2C9E">
        <w:t>e the chance of later offending</w:t>
      </w:r>
    </w:p>
    <w:p w14:paraId="039C7A34" w14:textId="0B8395D0" w:rsidR="009D46FC" w:rsidRPr="00535357" w:rsidRDefault="009D46FC" w:rsidP="009D46FC">
      <w:pPr>
        <w:pStyle w:val="ListParagraph"/>
        <w:numPr>
          <w:ilvl w:val="0"/>
          <w:numId w:val="26"/>
        </w:numPr>
        <w:spacing w:before="0" w:after="160" w:line="259" w:lineRule="auto"/>
      </w:pPr>
      <w:r w:rsidRPr="00535357">
        <w:lastRenderedPageBreak/>
        <w:t>Invest in education initiatives to help vulnerable young people maintain or reeng</w:t>
      </w:r>
      <w:r w:rsidR="004E2C9E">
        <w:t>age with education and training</w:t>
      </w:r>
    </w:p>
    <w:p w14:paraId="2508C488" w14:textId="75B44D26" w:rsidR="009D46FC" w:rsidRDefault="003F516F" w:rsidP="009D46FC">
      <w:pPr>
        <w:pStyle w:val="ListParagraph"/>
        <w:numPr>
          <w:ilvl w:val="0"/>
          <w:numId w:val="26"/>
        </w:numPr>
        <w:spacing w:before="0" w:after="160" w:line="259" w:lineRule="auto"/>
      </w:pPr>
      <w:r>
        <w:t>Work in partnership to develop a strategy to divert Aboriginal children in out-of-home care from entering or progressing in the youth justice system</w:t>
      </w:r>
    </w:p>
    <w:p w14:paraId="718F3BA7" w14:textId="335597FB" w:rsidR="003F516F" w:rsidRPr="00535357" w:rsidRDefault="003F516F" w:rsidP="009D46FC">
      <w:pPr>
        <w:pStyle w:val="ListParagraph"/>
        <w:numPr>
          <w:ilvl w:val="0"/>
          <w:numId w:val="26"/>
        </w:numPr>
        <w:spacing w:before="0" w:after="160" w:line="259" w:lineRule="auto"/>
      </w:pPr>
      <w:r>
        <w:t xml:space="preserve">Develop an inter-agency protocol to reduce the contact of youth people in residential care with police </w:t>
      </w:r>
      <w:r w:rsidR="004E2C9E">
        <w:t>and the criminal justice system</w:t>
      </w:r>
    </w:p>
    <w:p w14:paraId="5C684C41" w14:textId="31907EC5" w:rsidR="009D46FC" w:rsidRPr="00535357" w:rsidRDefault="003F516F" w:rsidP="009D46FC">
      <w:pPr>
        <w:pStyle w:val="ListParagraph"/>
        <w:numPr>
          <w:ilvl w:val="0"/>
          <w:numId w:val="26"/>
        </w:numPr>
        <w:spacing w:before="0" w:after="160" w:line="259" w:lineRule="auto"/>
      </w:pPr>
      <w:r>
        <w:t xml:space="preserve">Extend support for young people in out-pf-home care </w:t>
      </w:r>
      <w:r w:rsidR="009D46FC" w:rsidRPr="00535357">
        <w:t xml:space="preserve">to at least </w:t>
      </w:r>
      <w:r>
        <w:t xml:space="preserve">age </w:t>
      </w:r>
      <w:r w:rsidR="004E2C9E">
        <w:t>21</w:t>
      </w:r>
    </w:p>
    <w:p w14:paraId="284231F5" w14:textId="0F5C0869" w:rsidR="009D46FC" w:rsidRPr="00535357" w:rsidRDefault="009D46FC" w:rsidP="009D46FC">
      <w:pPr>
        <w:pStyle w:val="ListParagraph"/>
        <w:numPr>
          <w:ilvl w:val="0"/>
          <w:numId w:val="26"/>
        </w:numPr>
        <w:spacing w:before="0" w:after="160" w:line="259" w:lineRule="auto"/>
      </w:pPr>
      <w:r w:rsidRPr="00535357">
        <w:t>Develop justice reinvestment strategies to tackle the causes of crime and address entrenched disadvantage</w:t>
      </w:r>
    </w:p>
    <w:p w14:paraId="0E833D67" w14:textId="28F19FD8" w:rsidR="009D46FC" w:rsidRPr="00535357" w:rsidRDefault="009D46FC" w:rsidP="009D46FC">
      <w:pPr>
        <w:pStyle w:val="ListParagraph"/>
        <w:numPr>
          <w:ilvl w:val="0"/>
          <w:numId w:val="26"/>
        </w:numPr>
        <w:spacing w:before="0" w:after="160" w:line="259" w:lineRule="auto"/>
        <w:rPr>
          <w:szCs w:val="22"/>
        </w:rPr>
      </w:pPr>
      <w:r w:rsidRPr="00535357">
        <w:rPr>
          <w:szCs w:val="22"/>
        </w:rPr>
        <w:t>Invest in culturally appropriate interventions developed and delivered in par</w:t>
      </w:r>
      <w:r w:rsidR="004E2C9E">
        <w:rPr>
          <w:szCs w:val="22"/>
        </w:rPr>
        <w:t>tnership with local communities</w:t>
      </w:r>
    </w:p>
    <w:p w14:paraId="5BD75123" w14:textId="59761CCD" w:rsidR="009D46FC" w:rsidRPr="00535357" w:rsidRDefault="009D46FC" w:rsidP="009D46FC">
      <w:pPr>
        <w:pStyle w:val="ListParagraph"/>
        <w:numPr>
          <w:ilvl w:val="0"/>
          <w:numId w:val="26"/>
        </w:numPr>
        <w:spacing w:before="0" w:after="160" w:line="259" w:lineRule="auto"/>
        <w:rPr>
          <w:szCs w:val="22"/>
        </w:rPr>
      </w:pPr>
      <w:r w:rsidRPr="00535357">
        <w:rPr>
          <w:szCs w:val="22"/>
        </w:rPr>
        <w:t>Address systemic inadequacies which contribute to the overrepresentation of young people from particular cultural grou</w:t>
      </w:r>
      <w:r w:rsidR="004E2C9E">
        <w:rPr>
          <w:szCs w:val="22"/>
        </w:rPr>
        <w:t>ps in the youth justice system</w:t>
      </w:r>
    </w:p>
    <w:p w14:paraId="6E5098CF" w14:textId="233BD17F" w:rsidR="009D46FC" w:rsidRPr="00535357" w:rsidRDefault="003F516F" w:rsidP="009D46FC">
      <w:pPr>
        <w:pStyle w:val="ListParagraph"/>
        <w:numPr>
          <w:ilvl w:val="0"/>
          <w:numId w:val="26"/>
        </w:numPr>
        <w:spacing w:before="0" w:after="160" w:line="259" w:lineRule="auto"/>
      </w:pPr>
      <w:r>
        <w:t>Expand access to youth mental health and alcohol and other drug rehabilitation services, including residential services</w:t>
      </w:r>
    </w:p>
    <w:p w14:paraId="05498D58" w14:textId="6F57EDB2" w:rsidR="009D46FC" w:rsidRPr="00535357" w:rsidRDefault="009D46FC" w:rsidP="009D46FC">
      <w:pPr>
        <w:pStyle w:val="ListParagraph"/>
        <w:numPr>
          <w:ilvl w:val="0"/>
          <w:numId w:val="26"/>
        </w:numPr>
        <w:spacing w:before="0" w:after="160" w:line="259" w:lineRule="auto"/>
      </w:pPr>
      <w:r w:rsidRPr="00535357">
        <w:t>Invest in</w:t>
      </w:r>
      <w:r w:rsidR="003F516F">
        <w:t xml:space="preserve"> a</w:t>
      </w:r>
      <w:r w:rsidRPr="00535357">
        <w:t xml:space="preserve"> flexible range of diversion options along the justice continuum, avail</w:t>
      </w:r>
      <w:r w:rsidR="004E2C9E">
        <w:t>able equitably across the state</w:t>
      </w:r>
    </w:p>
    <w:p w14:paraId="71C02B5A" w14:textId="085D00AA" w:rsidR="009D46FC" w:rsidRPr="002E0643" w:rsidRDefault="003F516F" w:rsidP="009D46FC">
      <w:pPr>
        <w:pStyle w:val="ListParagraph"/>
        <w:numPr>
          <w:ilvl w:val="0"/>
          <w:numId w:val="26"/>
        </w:numPr>
        <w:spacing w:before="0" w:after="160" w:line="259" w:lineRule="auto"/>
      </w:pPr>
      <w:r w:rsidRPr="002E0643">
        <w:t>Legislate to help make pre-plea youth diversion accessible to all young offenders</w:t>
      </w:r>
      <w:r w:rsidR="009D46FC" w:rsidRPr="002E0643">
        <w:t xml:space="preserve">. </w:t>
      </w:r>
    </w:p>
    <w:p w14:paraId="744C1959" w14:textId="1B46A713" w:rsidR="009D46FC" w:rsidRPr="002E0643" w:rsidRDefault="002E0643" w:rsidP="009D46FC">
      <w:pPr>
        <w:pStyle w:val="ListParagraph"/>
        <w:numPr>
          <w:ilvl w:val="0"/>
          <w:numId w:val="26"/>
        </w:numPr>
        <w:spacing w:before="0" w:after="160" w:line="259" w:lineRule="auto"/>
      </w:pPr>
      <w:r w:rsidRPr="004E2C9E">
        <w:t>Establish</w:t>
      </w:r>
      <w:r w:rsidR="003F516F" w:rsidRPr="002E0643">
        <w:t xml:space="preserve"> </w:t>
      </w:r>
      <w:r w:rsidR="009D46FC" w:rsidRPr="002E0643">
        <w:t>a</w:t>
      </w:r>
      <w:r w:rsidR="003F516F" w:rsidRPr="002E0643">
        <w:t>n Aboriginal</w:t>
      </w:r>
      <w:r w:rsidR="009D46FC" w:rsidRPr="002E0643">
        <w:t xml:space="preserve"> youth cautioning program</w:t>
      </w:r>
    </w:p>
    <w:p w14:paraId="26755CB3" w14:textId="6C10CD1D" w:rsidR="009D46FC" w:rsidRPr="00535357" w:rsidRDefault="009D46FC" w:rsidP="009D46FC">
      <w:pPr>
        <w:pStyle w:val="ListParagraph"/>
        <w:numPr>
          <w:ilvl w:val="0"/>
          <w:numId w:val="26"/>
        </w:numPr>
        <w:spacing w:before="0" w:after="160" w:line="259" w:lineRule="auto"/>
      </w:pPr>
      <w:r w:rsidRPr="00535357">
        <w:t>Fund intensive case-management and family support for the small number of young people committing</w:t>
      </w:r>
      <w:r w:rsidR="007A67A8">
        <w:t xml:space="preserve"> a</w:t>
      </w:r>
      <w:r w:rsidR="004E2C9E">
        <w:t xml:space="preserve"> large numbers of offences</w:t>
      </w:r>
    </w:p>
    <w:p w14:paraId="7F72121F" w14:textId="77777777" w:rsidR="009D46FC" w:rsidRPr="006D3FB2" w:rsidRDefault="009D46FC" w:rsidP="006D3FB2">
      <w:pPr>
        <w:rPr>
          <w:b/>
          <w:color w:val="E36C0A" w:themeColor="accent6" w:themeShade="BF"/>
          <w:sz w:val="28"/>
          <w:szCs w:val="28"/>
        </w:rPr>
      </w:pPr>
      <w:r w:rsidRPr="006D3FB2">
        <w:rPr>
          <w:b/>
          <w:color w:val="E36C0A" w:themeColor="accent6" w:themeShade="BF"/>
          <w:sz w:val="28"/>
          <w:szCs w:val="28"/>
        </w:rPr>
        <w:t>Improve remand responses</w:t>
      </w:r>
    </w:p>
    <w:p w14:paraId="41A6BF05" w14:textId="353E71E6" w:rsidR="009D46FC" w:rsidRPr="00535357" w:rsidRDefault="009D46FC" w:rsidP="009D46FC">
      <w:pPr>
        <w:pStyle w:val="ListParagraph"/>
        <w:numPr>
          <w:ilvl w:val="0"/>
          <w:numId w:val="26"/>
        </w:numPr>
        <w:spacing w:before="0" w:after="160" w:line="259" w:lineRule="auto"/>
      </w:pPr>
      <w:r w:rsidRPr="00535357">
        <w:t xml:space="preserve">Provide bail support and services which enable young people to remain within their </w:t>
      </w:r>
      <w:r w:rsidR="004E2C9E">
        <w:t>community, where appropriate</w:t>
      </w:r>
    </w:p>
    <w:p w14:paraId="34FAF5B0" w14:textId="3528587F" w:rsidR="009D46FC" w:rsidRPr="00535357" w:rsidRDefault="002E0643" w:rsidP="009D46FC">
      <w:pPr>
        <w:pStyle w:val="ListParagraph"/>
        <w:numPr>
          <w:ilvl w:val="0"/>
          <w:numId w:val="26"/>
        </w:numPr>
        <w:spacing w:before="0" w:after="160" w:line="259" w:lineRule="auto"/>
      </w:pPr>
      <w:r>
        <w:t xml:space="preserve">Speed up the Court’s </w:t>
      </w:r>
      <w:r w:rsidR="004E2C9E">
        <w:t>ability to process remand cases</w:t>
      </w:r>
    </w:p>
    <w:p w14:paraId="75307CF2" w14:textId="5EEBFC54" w:rsidR="009D46FC" w:rsidRPr="00535357" w:rsidRDefault="009D46FC" w:rsidP="009D46FC">
      <w:pPr>
        <w:pStyle w:val="ListParagraph"/>
        <w:numPr>
          <w:ilvl w:val="0"/>
          <w:numId w:val="26"/>
        </w:numPr>
        <w:spacing w:before="0" w:after="160" w:line="259" w:lineRule="auto"/>
      </w:pPr>
      <w:r w:rsidRPr="00535357">
        <w:t>Provide comprehensive services and su</w:t>
      </w:r>
      <w:r w:rsidR="004E2C9E">
        <w:t>pport to young people on remand</w:t>
      </w:r>
    </w:p>
    <w:p w14:paraId="29E75A68" w14:textId="77777777" w:rsidR="002F685A" w:rsidRDefault="002F685A">
      <w:pPr>
        <w:spacing w:before="200"/>
        <w:rPr>
          <w:b/>
          <w:color w:val="D84920"/>
          <w:sz w:val="50"/>
          <w:szCs w:val="50"/>
        </w:rPr>
      </w:pPr>
    </w:p>
    <w:p w14:paraId="428FC3AA" w14:textId="77777777" w:rsidR="009D46FC" w:rsidRDefault="009D46FC">
      <w:pPr>
        <w:spacing w:before="200"/>
        <w:rPr>
          <w:b/>
          <w:color w:val="D84920"/>
          <w:sz w:val="50"/>
          <w:szCs w:val="50"/>
        </w:rPr>
      </w:pPr>
      <w:r>
        <w:br w:type="page"/>
      </w:r>
    </w:p>
    <w:p w14:paraId="7C4705E3" w14:textId="77777777" w:rsidR="00D47813" w:rsidRDefault="00D47813" w:rsidP="00D47813">
      <w:pPr>
        <w:pStyle w:val="Heading1"/>
      </w:pPr>
      <w:bookmarkStart w:id="7" w:name="_Toc476310185"/>
      <w:r>
        <w:lastRenderedPageBreak/>
        <w:t>Better care in youth justice centres</w:t>
      </w:r>
      <w:bookmarkEnd w:id="7"/>
      <w:r>
        <w:t xml:space="preserve"> </w:t>
      </w:r>
    </w:p>
    <w:p w14:paraId="4BB9CB67" w14:textId="77777777" w:rsidR="00D47813" w:rsidRDefault="00D47813" w:rsidP="00D47813">
      <w:pPr>
        <w:pStyle w:val="Heading2"/>
      </w:pPr>
      <w:bookmarkStart w:id="8" w:name="_Toc476310186"/>
      <w:r>
        <w:t xml:space="preserve">Transfer young people out of </w:t>
      </w:r>
      <w:proofErr w:type="spellStart"/>
      <w:r>
        <w:t>Barwon’s</w:t>
      </w:r>
      <w:proofErr w:type="spellEnd"/>
      <w:r>
        <w:t xml:space="preserve"> adult prison immediately</w:t>
      </w:r>
      <w:bookmarkEnd w:id="8"/>
    </w:p>
    <w:p w14:paraId="31BD04A9" w14:textId="77777777" w:rsidR="00D47813" w:rsidRPr="00613EED" w:rsidRDefault="00D47813" w:rsidP="00D47813">
      <w:pPr>
        <w:pStyle w:val="Boxheading"/>
      </w:pPr>
      <w:r>
        <w:t>Recommendation</w:t>
      </w:r>
    </w:p>
    <w:p w14:paraId="3B68A3DB" w14:textId="6DE5F072" w:rsidR="00D47813" w:rsidRPr="00613EED" w:rsidRDefault="00D47813" w:rsidP="00D47813">
      <w:pPr>
        <w:pStyle w:val="Boxlist"/>
        <w:ind w:left="851" w:hanging="425"/>
      </w:pPr>
      <w:r w:rsidRPr="009843E0">
        <w:t>Immediate</w:t>
      </w:r>
      <w:r>
        <w:t>ly</w:t>
      </w:r>
      <w:r w:rsidRPr="009843E0">
        <w:t xml:space="preserve"> transfer children out of adult Barwon Prison</w:t>
      </w:r>
    </w:p>
    <w:p w14:paraId="3862E7F1" w14:textId="77777777" w:rsidR="00D47813" w:rsidRDefault="00D47813" w:rsidP="00D47813">
      <w:r>
        <w:t xml:space="preserve">Recent </w:t>
      </w:r>
      <w:r w:rsidRPr="003D0A46">
        <w:t>incidents at the Parkville and Malmsbury</w:t>
      </w:r>
      <w:r>
        <w:t xml:space="preserve"> Youth Justice Centres have </w:t>
      </w:r>
      <w:r w:rsidRPr="003D0A46">
        <w:t xml:space="preserve">led to the government transferring some young people to </w:t>
      </w:r>
      <w:r>
        <w:t xml:space="preserve">the </w:t>
      </w:r>
      <w:r w:rsidRPr="008F6EAB">
        <w:t xml:space="preserve">Grevillea Unit </w:t>
      </w:r>
      <w:r>
        <w:t xml:space="preserve">at </w:t>
      </w:r>
      <w:proofErr w:type="spellStart"/>
      <w:r w:rsidRPr="003D0A46">
        <w:t>Barwon’s</w:t>
      </w:r>
      <w:proofErr w:type="spellEnd"/>
      <w:r w:rsidRPr="003D0A46">
        <w:t xml:space="preserve"> adult prison.</w:t>
      </w:r>
      <w:r>
        <w:t xml:space="preserve"> The Ombudsman’s report into the Victoria’s youth justice centres, identifies a number of issues with the conditions and management of the Grevillea Unit, </w:t>
      </w:r>
      <w:r w:rsidRPr="00090931">
        <w:t>including “</w:t>
      </w:r>
      <w:r w:rsidRPr="00ED2AB3">
        <w:t>appropriate staffing, the amount of time young people were spending in lockdowns, the provision of food, information given to youth people about why they have been transferred, access to bedding, clothing and education services.”</w:t>
      </w:r>
      <w:r w:rsidRPr="00090931">
        <w:rPr>
          <w:rStyle w:val="FootnoteReference"/>
        </w:rPr>
        <w:footnoteReference w:id="15"/>
      </w:r>
      <w:r w:rsidRPr="00090931">
        <w:t xml:space="preserve"> There are also a</w:t>
      </w:r>
      <w:r>
        <w:t xml:space="preserve">lleged reports of mistreatment, including use of </w:t>
      </w:r>
      <w:r w:rsidRPr="00A840F0">
        <w:t>capsicum spray,</w:t>
      </w:r>
      <w:r>
        <w:t xml:space="preserve"> and threats of</w:t>
      </w:r>
      <w:r w:rsidRPr="00A840F0">
        <w:t xml:space="preserve"> tear gas.</w:t>
      </w:r>
      <w:r w:rsidRPr="00A840F0">
        <w:rPr>
          <w:rFonts w:hint="eastAsia"/>
          <w:vertAlign w:val="superscript"/>
        </w:rPr>
        <w:footnoteReference w:id="16"/>
      </w:r>
    </w:p>
    <w:p w14:paraId="4568EB28" w14:textId="77777777" w:rsidR="00D47813" w:rsidRPr="00A840F0" w:rsidRDefault="00D47813" w:rsidP="00D47813">
      <w:pPr>
        <w:rPr>
          <w:i/>
          <w:lang w:val="en-AU"/>
        </w:rPr>
      </w:pPr>
      <w:r>
        <w:t xml:space="preserve">VCOSS supports SJ4YP’s call to immediately transfer of young people out of </w:t>
      </w:r>
      <w:r w:rsidRPr="004D545A">
        <w:t xml:space="preserve">Barwon. </w:t>
      </w:r>
      <w:r w:rsidRPr="004D545A">
        <w:rPr>
          <w:rFonts w:ascii="Helvetica" w:hAnsi="Helvetica"/>
          <w:shd w:val="clear" w:color="auto" w:fill="FFFFFF"/>
        </w:rPr>
        <w:t xml:space="preserve">The Victorian Ombudsman’s 2013 investigation into children transferred to the adult prison system </w:t>
      </w:r>
      <w:r w:rsidRPr="00090931">
        <w:t>found “</w:t>
      </w:r>
      <w:r w:rsidRPr="00ED2AB3">
        <w:t>there are no circumstances that justify the placement of a child in the adult prison system”.</w:t>
      </w:r>
      <w:r w:rsidRPr="00090931">
        <w:rPr>
          <w:vertAlign w:val="superscript"/>
        </w:rPr>
        <w:footnoteReference w:id="17"/>
      </w:r>
      <w:r w:rsidRPr="004D545A">
        <w:t xml:space="preserve"> The Convention of the Rights of the Child Committee’s advice on Children’s rights in juvenile justice also states </w:t>
      </w:r>
      <w:r w:rsidRPr="00090931">
        <w:t xml:space="preserve">governments </w:t>
      </w:r>
      <w:r w:rsidRPr="00ED2AB3">
        <w:rPr>
          <w:lang w:val="en-AU"/>
        </w:rPr>
        <w:t>“should establish separate facilities for children deprived of their liberty, which include distinct, child-centred staff, personnel, policies and practices”.</w:t>
      </w:r>
      <w:r w:rsidRPr="00ED2AB3">
        <w:rPr>
          <w:vertAlign w:val="superscript"/>
        </w:rPr>
        <w:footnoteReference w:id="18"/>
      </w:r>
    </w:p>
    <w:p w14:paraId="28286C1F" w14:textId="77777777" w:rsidR="004E2C9E" w:rsidRDefault="004E2C9E">
      <w:pPr>
        <w:spacing w:before="200"/>
        <w:rPr>
          <w:rFonts w:eastAsiaTheme="majorEastAsia" w:cstheme="majorBidi"/>
          <w:b/>
          <w:bCs/>
          <w:color w:val="E36C0A" w:themeColor="accent6" w:themeShade="BF"/>
          <w:sz w:val="32"/>
          <w:szCs w:val="26"/>
        </w:rPr>
      </w:pPr>
      <w:bookmarkStart w:id="9" w:name="_Toc476310187"/>
      <w:r>
        <w:br w:type="page"/>
      </w:r>
    </w:p>
    <w:p w14:paraId="651238DE" w14:textId="7E6C9F4E" w:rsidR="00D47813" w:rsidRDefault="00D47813" w:rsidP="00D47813">
      <w:pPr>
        <w:pStyle w:val="Heading2"/>
      </w:pPr>
      <w:r>
        <w:lastRenderedPageBreak/>
        <w:t>Use detention as a last resort</w:t>
      </w:r>
      <w:bookmarkEnd w:id="9"/>
    </w:p>
    <w:p w14:paraId="071C869A" w14:textId="77777777" w:rsidR="00D47813" w:rsidRPr="00654A97" w:rsidRDefault="00D47813" w:rsidP="00D47813">
      <w:pPr>
        <w:pStyle w:val="Boxheading"/>
      </w:pPr>
      <w:r>
        <w:t>Recommendation</w:t>
      </w:r>
    </w:p>
    <w:p w14:paraId="6C646F46" w14:textId="626FC122" w:rsidR="00D47813" w:rsidRDefault="00D47813" w:rsidP="00D47813">
      <w:pPr>
        <w:pStyle w:val="Boxlist"/>
        <w:ind w:left="851" w:hanging="425"/>
      </w:pPr>
      <w:r>
        <w:t>Use detention as a last resort because it harm</w:t>
      </w:r>
      <w:r w:rsidR="004E2C9E">
        <w:t>s the changes of rehabilitation</w:t>
      </w:r>
    </w:p>
    <w:p w14:paraId="640DCC82" w14:textId="77777777" w:rsidR="00D47813" w:rsidRDefault="00D47813" w:rsidP="00D47813">
      <w:r>
        <w:t xml:space="preserve">Detention as a last resort, for the shortest possible time, is a key principle of Australia’s youth justice system and is </w:t>
      </w:r>
      <w:r w:rsidRPr="008862B6">
        <w:t>consistent with </w:t>
      </w:r>
      <w:r w:rsidRPr="008862B6">
        <w:rPr>
          <w:i/>
          <w:iCs/>
        </w:rPr>
        <w:t xml:space="preserve">United Nations Convention on the Rights of the Child </w:t>
      </w:r>
      <w:r w:rsidRPr="00FD767E">
        <w:rPr>
          <w:iCs/>
        </w:rPr>
        <w:t>and the</w:t>
      </w:r>
      <w:r>
        <w:rPr>
          <w:i/>
          <w:iCs/>
        </w:rPr>
        <w:t xml:space="preserve"> </w:t>
      </w:r>
      <w:r w:rsidRPr="008862B6">
        <w:rPr>
          <w:i/>
          <w:iCs/>
        </w:rPr>
        <w:t>United Nations Standard Minimum Rules for the Administration of Juvenile Justice</w:t>
      </w:r>
      <w:r>
        <w:t xml:space="preserve"> ('The Beijing Rules'). </w:t>
      </w:r>
    </w:p>
    <w:p w14:paraId="006B8FA4" w14:textId="77777777" w:rsidR="00D47813" w:rsidRDefault="00D47813" w:rsidP="00D47813">
      <w:pPr>
        <w:rPr>
          <w:color w:val="000000"/>
          <w:sz w:val="20"/>
          <w:shd w:val="clear" w:color="auto" w:fill="FFFFFF"/>
        </w:rPr>
      </w:pPr>
      <w:r>
        <w:t>Detention does not deter reoffending. An Australian study comparing young people after detention with those given a non-custodial sentence, found no difference in reoffending</w:t>
      </w:r>
      <w:r w:rsidRPr="00D422C1">
        <w:t xml:space="preserve"> </w:t>
      </w:r>
      <w:r>
        <w:t>rates, after controlling for prior criminal records.</w:t>
      </w:r>
      <w:r>
        <w:rPr>
          <w:rStyle w:val="FootnoteReference"/>
        </w:rPr>
        <w:footnoteReference w:id="19"/>
      </w:r>
      <w:r>
        <w:t xml:space="preserve"> Other evidence suggests detention increases the risk of reoffending.</w:t>
      </w:r>
      <w:r w:rsidRPr="00EC212F">
        <w:rPr>
          <w:rStyle w:val="FootnoteReference"/>
          <w:szCs w:val="22"/>
        </w:rPr>
        <w:footnoteReference w:id="20"/>
      </w:r>
      <w:r w:rsidRPr="00EC212F">
        <w:rPr>
          <w:rStyle w:val="FootnoteReference"/>
          <w:color w:val="000000"/>
          <w:szCs w:val="22"/>
          <w:shd w:val="clear" w:color="auto" w:fill="FFFFFF"/>
        </w:rPr>
        <w:t>,</w:t>
      </w:r>
      <w:r w:rsidRPr="00EC212F">
        <w:rPr>
          <w:rStyle w:val="FootnoteReference"/>
          <w:color w:val="000000"/>
          <w:szCs w:val="22"/>
          <w:shd w:val="clear" w:color="auto" w:fill="FFFFFF"/>
        </w:rPr>
        <w:footnoteReference w:id="21"/>
      </w:r>
    </w:p>
    <w:p w14:paraId="39723615" w14:textId="77777777" w:rsidR="00D47813" w:rsidRDefault="00D47813" w:rsidP="00D47813">
      <w:r>
        <w:rPr>
          <w:color w:val="000000"/>
          <w:sz w:val="20"/>
          <w:shd w:val="clear" w:color="auto" w:fill="FFFFFF"/>
          <w:vertAlign w:val="superscript"/>
        </w:rPr>
        <w:t xml:space="preserve"> </w:t>
      </w:r>
      <w:r w:rsidRPr="005F3D6F">
        <w:t xml:space="preserve">Like remand, </w:t>
      </w:r>
      <w:r>
        <w:t>detention separates children and young people from their family and support networks, disrupts their schooling, and can erode their mental health.</w:t>
      </w:r>
      <w:r>
        <w:rPr>
          <w:rStyle w:val="FootnoteReference"/>
          <w:color w:val="000000"/>
          <w:sz w:val="20"/>
          <w:shd w:val="clear" w:color="auto" w:fill="FFFFFF"/>
        </w:rPr>
        <w:footnoteReference w:id="22"/>
      </w:r>
      <w:r>
        <w:rPr>
          <w:color w:val="000000"/>
          <w:sz w:val="20"/>
          <w:shd w:val="clear" w:color="auto" w:fill="FFFFFF"/>
          <w:vertAlign w:val="superscript"/>
        </w:rPr>
        <w:t xml:space="preserve"> </w:t>
      </w:r>
      <w:r>
        <w:t>They mix with other young offenders, which can encourage reoffending. Detention entrenches disadvantage, and can reduce a young person’s future employment prospects, which may also increase their risks of reoffending.</w:t>
      </w:r>
    </w:p>
    <w:p w14:paraId="6D91A39C" w14:textId="77777777" w:rsidR="00D47813" w:rsidRDefault="00D47813" w:rsidP="00D47813">
      <w:pPr>
        <w:pStyle w:val="Heading2"/>
      </w:pPr>
      <w:r>
        <w:t xml:space="preserve"> </w:t>
      </w:r>
      <w:bookmarkStart w:id="10" w:name="_Toc476310188"/>
      <w:r>
        <w:t>Provide a t</w:t>
      </w:r>
      <w:r w:rsidRPr="005B5165">
        <w:t xml:space="preserve">herapeutic </w:t>
      </w:r>
      <w:r>
        <w:t>model of care</w:t>
      </w:r>
      <w:bookmarkEnd w:id="10"/>
      <w:r>
        <w:t xml:space="preserve"> </w:t>
      </w:r>
    </w:p>
    <w:p w14:paraId="073E9721" w14:textId="77777777" w:rsidR="00D47813" w:rsidRPr="00654A97" w:rsidRDefault="00D47813" w:rsidP="00D47813">
      <w:pPr>
        <w:pStyle w:val="Boxheading"/>
      </w:pPr>
      <w:r w:rsidRPr="00654A97">
        <w:t>Recommendatio</w:t>
      </w:r>
      <w:r>
        <w:t>n</w:t>
      </w:r>
    </w:p>
    <w:p w14:paraId="07387F6B" w14:textId="41745E8A" w:rsidR="00D47813" w:rsidRDefault="00D47813" w:rsidP="00D47813">
      <w:pPr>
        <w:pStyle w:val="Boxlist"/>
        <w:ind w:left="851" w:hanging="425"/>
      </w:pPr>
      <w:r>
        <w:t xml:space="preserve">Develop and </w:t>
      </w:r>
      <w:r w:rsidRPr="006713FE">
        <w:t xml:space="preserve">implement a therapeutic </w:t>
      </w:r>
      <w:r>
        <w:t xml:space="preserve">model of </w:t>
      </w:r>
      <w:r w:rsidRPr="006713FE">
        <w:t>care ac</w:t>
      </w:r>
      <w:r w:rsidR="004E2C9E">
        <w:t>ross all youth justice settings</w:t>
      </w:r>
    </w:p>
    <w:p w14:paraId="1D7CE8B7" w14:textId="77777777" w:rsidR="00D47813" w:rsidRDefault="00D47813" w:rsidP="00D47813">
      <w:pPr>
        <w:rPr>
          <w:i/>
          <w:iCs/>
        </w:rPr>
      </w:pPr>
      <w:r>
        <w:t>Detention, used as a last resort, is a</w:t>
      </w:r>
      <w:r w:rsidRPr="008A5D70">
        <w:t xml:space="preserve"> rehabilitation and devel</w:t>
      </w:r>
      <w:r>
        <w:t>opment opportunity. A therapeutic, trauma informed approach to care can help young people tackle the causes of their offending and</w:t>
      </w:r>
      <w:r w:rsidRPr="008A5D70">
        <w:t xml:space="preserve"> build pro-social skills to </w:t>
      </w:r>
      <w:r>
        <w:t>prepare for a successful reintegration</w:t>
      </w:r>
      <w:r w:rsidRPr="008A5D70">
        <w:t>.</w:t>
      </w:r>
      <w:r>
        <w:t xml:space="preserve"> Healthy, well-adjusted children and young people are less likely to</w:t>
      </w:r>
      <w:r w:rsidRPr="00340874">
        <w:rPr>
          <w:iCs/>
        </w:rPr>
        <w:t xml:space="preserve"> reoffend</w:t>
      </w:r>
      <w:r>
        <w:rPr>
          <w:i/>
          <w:iCs/>
        </w:rPr>
        <w:t xml:space="preserve">. </w:t>
      </w:r>
    </w:p>
    <w:p w14:paraId="5BF87AD6" w14:textId="77777777" w:rsidR="00D47813" w:rsidRDefault="00D47813" w:rsidP="00D47813">
      <w:pPr>
        <w:rPr>
          <w:lang w:val="en-AU"/>
        </w:rPr>
      </w:pPr>
      <w:r w:rsidRPr="00873CBE">
        <w:t>Almost two-thirds of young people in Victorian youth justice centres ha</w:t>
      </w:r>
      <w:r>
        <w:t>ve</w:t>
      </w:r>
      <w:r w:rsidRPr="00873CBE">
        <w:t xml:space="preserve"> experienced abuse, trauma or neglect.</w:t>
      </w:r>
      <w:r w:rsidRPr="00873CBE">
        <w:rPr>
          <w:rStyle w:val="FootnoteReference"/>
        </w:rPr>
        <w:footnoteReference w:id="23"/>
      </w:r>
      <w:r w:rsidRPr="00873CBE">
        <w:t xml:space="preserve"> Early experiences of adversity and trauma, such as child abuse and neglect, can </w:t>
      </w:r>
      <w:r>
        <w:t>disrupt</w:t>
      </w:r>
      <w:r w:rsidRPr="00873CBE">
        <w:t xml:space="preserve"> behavioral, social, and emotional development and functioning,</w:t>
      </w:r>
      <w:r w:rsidRPr="00873CBE">
        <w:rPr>
          <w:rStyle w:val="FootnoteReference"/>
        </w:rPr>
        <w:footnoteReference w:id="24"/>
      </w:r>
      <w:r w:rsidRPr="00873CBE">
        <w:t xml:space="preserve"> and mental and </w:t>
      </w:r>
      <w:r w:rsidRPr="00873CBE">
        <w:lastRenderedPageBreak/>
        <w:t>physical health.</w:t>
      </w:r>
      <w:r w:rsidRPr="00873CBE">
        <w:rPr>
          <w:rStyle w:val="FootnoteReference"/>
        </w:rPr>
        <w:footnoteReference w:id="25"/>
      </w:r>
      <w:r w:rsidRPr="00873CBE">
        <w:t xml:space="preserve"> Providing trauma informed care recognise</w:t>
      </w:r>
      <w:r>
        <w:t>s</w:t>
      </w:r>
      <w:r w:rsidRPr="00873CBE">
        <w:t xml:space="preserve"> and understand</w:t>
      </w:r>
      <w:r>
        <w:t>s</w:t>
      </w:r>
      <w:r w:rsidRPr="00873CBE">
        <w:t xml:space="preserve"> trauma</w:t>
      </w:r>
      <w:r>
        <w:t>’s impact,</w:t>
      </w:r>
      <w:r w:rsidRPr="00873CBE">
        <w:t xml:space="preserve"> and help</w:t>
      </w:r>
      <w:r>
        <w:t>s</w:t>
      </w:r>
      <w:r w:rsidRPr="00873CBE">
        <w:t xml:space="preserve"> support recovery and resilience.</w:t>
      </w:r>
      <w:r w:rsidRPr="00873CBE">
        <w:rPr>
          <w:rStyle w:val="FootnoteReference"/>
        </w:rPr>
        <w:footnoteReference w:id="26"/>
      </w:r>
    </w:p>
    <w:p w14:paraId="668D5315" w14:textId="77777777" w:rsidR="00D47813" w:rsidRDefault="00D47813" w:rsidP="00D47813">
      <w:r>
        <w:t>VCOSS members report therapeutic approaches are not widely used in Victoria’s youth justice centres. They have multiple concerns about youth justice operations</w:t>
      </w:r>
      <w:r w:rsidRPr="00BB2A0B">
        <w:t>,</w:t>
      </w:r>
      <w:r>
        <w:t xml:space="preserve"> including </w:t>
      </w:r>
      <w:r w:rsidRPr="00BB2A0B">
        <w:t>staff shortages</w:t>
      </w:r>
      <w:r>
        <w:t>,</w:t>
      </w:r>
      <w:r w:rsidRPr="00BB2A0B">
        <w:t xml:space="preserve"> limited support and training for staff</w:t>
      </w:r>
      <w:r>
        <w:t xml:space="preserve"> in trauma informed practice</w:t>
      </w:r>
      <w:r w:rsidRPr="00BB2A0B">
        <w:t xml:space="preserve">, </w:t>
      </w:r>
      <w:r>
        <w:t>a</w:t>
      </w:r>
      <w:r w:rsidRPr="00BB2A0B">
        <w:t xml:space="preserve"> lack of daily structure and routine, inconsistent practices </w:t>
      </w:r>
      <w:r>
        <w:t>meaning</w:t>
      </w:r>
      <w:r w:rsidRPr="00BB2A0B">
        <w:t xml:space="preserve"> young people </w:t>
      </w:r>
      <w:r>
        <w:t>do not know</w:t>
      </w:r>
      <w:r w:rsidRPr="00BB2A0B">
        <w:t xml:space="preserve"> the rules, noncompliance with rules governing isolation and seclusion, and </w:t>
      </w:r>
      <w:r>
        <w:t>inadequate assessment and responses to complex needs</w:t>
      </w:r>
      <w:r w:rsidRPr="00BB2A0B">
        <w:t>.</w:t>
      </w:r>
    </w:p>
    <w:p w14:paraId="56B949AF" w14:textId="77777777" w:rsidR="00D47813" w:rsidRDefault="00D47813" w:rsidP="00D47813">
      <w:pPr>
        <w:rPr>
          <w:color w:val="222222"/>
          <w:shd w:val="clear" w:color="auto" w:fill="FFFFFF"/>
        </w:rPr>
      </w:pPr>
      <w:r>
        <w:rPr>
          <w:rFonts w:cs="National Book"/>
          <w:color w:val="000000"/>
        </w:rPr>
        <w:t>A</w:t>
      </w:r>
      <w:r w:rsidRPr="00A37668">
        <w:rPr>
          <w:rFonts w:cs="National Book"/>
          <w:color w:val="000000"/>
        </w:rPr>
        <w:t xml:space="preserve"> </w:t>
      </w:r>
      <w:r>
        <w:rPr>
          <w:rFonts w:cs="National Book"/>
          <w:color w:val="000000"/>
        </w:rPr>
        <w:t xml:space="preserve">clearly articulated therapeutic </w:t>
      </w:r>
      <w:r w:rsidRPr="00A37668">
        <w:rPr>
          <w:rFonts w:cs="National Book"/>
          <w:color w:val="000000"/>
        </w:rPr>
        <w:t xml:space="preserve">care model </w:t>
      </w:r>
      <w:r>
        <w:rPr>
          <w:rFonts w:cs="National Book"/>
          <w:color w:val="000000"/>
        </w:rPr>
        <w:t xml:space="preserve">in all youth justice facilities </w:t>
      </w:r>
      <w:r w:rsidRPr="00654A97">
        <w:rPr>
          <w:rFonts w:cs="National Book"/>
          <w:color w:val="000000"/>
        </w:rPr>
        <w:t>help</w:t>
      </w:r>
      <w:r>
        <w:rPr>
          <w:rFonts w:cs="National Book"/>
          <w:color w:val="000000"/>
        </w:rPr>
        <w:t>s</w:t>
      </w:r>
      <w:r w:rsidRPr="00654A97">
        <w:rPr>
          <w:rFonts w:cs="National Book"/>
          <w:color w:val="000000"/>
        </w:rPr>
        <w:t xml:space="preserve"> foster a common understanding </w:t>
      </w:r>
      <w:r>
        <w:rPr>
          <w:rFonts w:cs="National Book"/>
          <w:color w:val="000000"/>
        </w:rPr>
        <w:t>among</w:t>
      </w:r>
      <w:r w:rsidRPr="00654A97">
        <w:rPr>
          <w:rFonts w:cs="National Book"/>
          <w:color w:val="000000"/>
        </w:rPr>
        <w:t xml:space="preserve"> staff and </w:t>
      </w:r>
      <w:r>
        <w:rPr>
          <w:rFonts w:cs="National Book"/>
          <w:color w:val="000000"/>
        </w:rPr>
        <w:t>influence</w:t>
      </w:r>
      <w:r w:rsidRPr="00654A97">
        <w:t xml:space="preserve"> culture, practices and policies.</w:t>
      </w:r>
      <w:r>
        <w:t xml:space="preserve"> Victorian can learn </w:t>
      </w:r>
      <w:r w:rsidRPr="003B6363">
        <w:t xml:space="preserve">from successful overseas models, including Spain’s </w:t>
      </w:r>
      <w:r w:rsidRPr="003B6363">
        <w:rPr>
          <w:color w:val="222222"/>
          <w:shd w:val="clear" w:color="auto" w:fill="FFFFFF"/>
        </w:rPr>
        <w:t>re-education centres</w:t>
      </w:r>
      <w:r>
        <w:rPr>
          <w:color w:val="222222"/>
          <w:shd w:val="clear" w:color="auto" w:fill="FFFFFF"/>
        </w:rPr>
        <w:t>.</w:t>
      </w:r>
      <w:r w:rsidRPr="003B6363">
        <w:rPr>
          <w:rStyle w:val="FootnoteReference"/>
          <w:color w:val="222222"/>
          <w:shd w:val="clear" w:color="auto" w:fill="FFFFFF"/>
        </w:rPr>
        <w:footnoteReference w:id="27"/>
      </w:r>
    </w:p>
    <w:p w14:paraId="1D4C9E7C" w14:textId="77777777" w:rsidR="00D47813" w:rsidRPr="00950B94" w:rsidRDefault="00D47813" w:rsidP="00D47813">
      <w:pPr>
        <w:pStyle w:val="Boxprelisttext"/>
        <w:pBdr>
          <w:top w:val="single" w:sz="24" w:space="1" w:color="FDDBA5"/>
          <w:left w:val="single" w:sz="48" w:space="4" w:color="FDDBA5"/>
          <w:bottom w:val="single" w:sz="24" w:space="1" w:color="FDDBA5"/>
          <w:right w:val="single" w:sz="48" w:space="4" w:color="FDDBA5"/>
          <w:between w:val="single" w:sz="48" w:space="1" w:color="FDDBA5"/>
        </w:pBdr>
        <w:shd w:val="clear" w:color="auto" w:fill="FDDBA5"/>
        <w:rPr>
          <w:b/>
        </w:rPr>
      </w:pPr>
      <w:r w:rsidRPr="00950B94">
        <w:rPr>
          <w:b/>
        </w:rPr>
        <w:t xml:space="preserve">Wellbeing of young people </w:t>
      </w:r>
      <w:r>
        <w:rPr>
          <w:b/>
        </w:rPr>
        <w:t>in youth justice facilities</w:t>
      </w:r>
    </w:p>
    <w:p w14:paraId="1F68C1B5" w14:textId="77777777" w:rsidR="00D47813" w:rsidRPr="00950B94" w:rsidRDefault="00D47813" w:rsidP="00D47813">
      <w:pPr>
        <w:pStyle w:val="Boxprelisttext"/>
        <w:pBdr>
          <w:top w:val="single" w:sz="24" w:space="1" w:color="FDDBA5"/>
          <w:left w:val="single" w:sz="48" w:space="4" w:color="FDDBA5"/>
          <w:bottom w:val="single" w:sz="24" w:space="1" w:color="FDDBA5"/>
          <w:right w:val="single" w:sz="48" w:space="4" w:color="FDDBA5"/>
          <w:between w:val="single" w:sz="48" w:space="1" w:color="FDDBA5"/>
        </w:pBdr>
        <w:shd w:val="clear" w:color="auto" w:fill="FDDBA5"/>
      </w:pPr>
      <w:r w:rsidRPr="00950B94">
        <w:t>An Australian Human Rights Commission Survey of young people in justice facilities identified</w:t>
      </w:r>
      <w:r>
        <w:t xml:space="preserve"> </w:t>
      </w:r>
      <w:r w:rsidRPr="00950B94">
        <w:t xml:space="preserve">conditions </w:t>
      </w:r>
      <w:r>
        <w:t>that improved their</w:t>
      </w:r>
      <w:r w:rsidRPr="00950B94">
        <w:t xml:space="preserve"> wellbeing:</w:t>
      </w:r>
    </w:p>
    <w:p w14:paraId="10DBFB3F" w14:textId="77777777" w:rsidR="00D47813" w:rsidRDefault="00D47813" w:rsidP="00D47813">
      <w:pPr>
        <w:pStyle w:val="Boxlist"/>
        <w:pBdr>
          <w:top w:val="single" w:sz="18" w:space="1" w:color="FDDBA5"/>
          <w:left w:val="single" w:sz="48" w:space="11" w:color="FDDBA5"/>
          <w:bottom w:val="single" w:sz="18" w:space="1" w:color="FDDBA5"/>
          <w:right w:val="single" w:sz="48" w:space="11" w:color="FDDBA5"/>
          <w:between w:val="single" w:sz="18" w:space="1" w:color="FDDBA5"/>
        </w:pBdr>
        <w:shd w:val="clear" w:color="auto" w:fill="FDDBA5"/>
        <w:ind w:left="784" w:hanging="358"/>
      </w:pPr>
      <w:r w:rsidRPr="00E74509">
        <w:t xml:space="preserve">contact with </w:t>
      </w:r>
      <w:r>
        <w:t>family members and friends</w:t>
      </w:r>
      <w:r w:rsidRPr="00E74509">
        <w:t xml:space="preserve">; </w:t>
      </w:r>
    </w:p>
    <w:p w14:paraId="62426618" w14:textId="77777777" w:rsidR="00D47813" w:rsidRDefault="00D47813" w:rsidP="00D47813">
      <w:pPr>
        <w:pStyle w:val="Boxlist"/>
        <w:pBdr>
          <w:top w:val="single" w:sz="18" w:space="1" w:color="FDDBA5"/>
          <w:left w:val="single" w:sz="48" w:space="11" w:color="FDDBA5"/>
          <w:bottom w:val="single" w:sz="18" w:space="1" w:color="FDDBA5"/>
          <w:right w:val="single" w:sz="48" w:space="11" w:color="FDDBA5"/>
          <w:between w:val="single" w:sz="18" w:space="1" w:color="FDDBA5"/>
        </w:pBdr>
        <w:shd w:val="clear" w:color="auto" w:fill="FDDBA5"/>
        <w:ind w:left="784" w:hanging="358"/>
      </w:pPr>
      <w:r>
        <w:t xml:space="preserve">access to </w:t>
      </w:r>
      <w:r w:rsidRPr="00E74509">
        <w:t xml:space="preserve">education and purposeful activities; </w:t>
      </w:r>
    </w:p>
    <w:p w14:paraId="28538821" w14:textId="77777777" w:rsidR="00D47813" w:rsidRDefault="00D47813" w:rsidP="00D47813">
      <w:pPr>
        <w:pStyle w:val="Boxlist"/>
        <w:pBdr>
          <w:top w:val="single" w:sz="18" w:space="1" w:color="FDDBA5"/>
          <w:left w:val="single" w:sz="48" w:space="11" w:color="FDDBA5"/>
          <w:bottom w:val="single" w:sz="18" w:space="1" w:color="FDDBA5"/>
          <w:right w:val="single" w:sz="48" w:space="11" w:color="FDDBA5"/>
          <w:between w:val="single" w:sz="18" w:space="1" w:color="FDDBA5"/>
        </w:pBdr>
        <w:shd w:val="clear" w:color="auto" w:fill="FDDBA5"/>
        <w:ind w:left="784" w:hanging="358"/>
      </w:pPr>
      <w:r w:rsidRPr="00E74509">
        <w:t xml:space="preserve">contact with professional services; </w:t>
      </w:r>
    </w:p>
    <w:p w14:paraId="279A1290" w14:textId="77777777" w:rsidR="00D47813" w:rsidRDefault="00D47813" w:rsidP="00D47813">
      <w:pPr>
        <w:pStyle w:val="Boxlist"/>
        <w:pBdr>
          <w:top w:val="single" w:sz="18" w:space="1" w:color="FDDBA5"/>
          <w:left w:val="single" w:sz="48" w:space="11" w:color="FDDBA5"/>
          <w:bottom w:val="single" w:sz="18" w:space="1" w:color="FDDBA5"/>
          <w:right w:val="single" w:sz="48" w:space="11" w:color="FDDBA5"/>
          <w:between w:val="single" w:sz="18" w:space="1" w:color="FDDBA5"/>
        </w:pBdr>
        <w:shd w:val="clear" w:color="auto" w:fill="FDDBA5"/>
        <w:ind w:left="784" w:hanging="358"/>
      </w:pPr>
      <w:r w:rsidRPr="00E74509">
        <w:t xml:space="preserve">access to health services; </w:t>
      </w:r>
    </w:p>
    <w:p w14:paraId="5CC6D71B" w14:textId="77777777" w:rsidR="00D47813" w:rsidRDefault="00D47813" w:rsidP="00D47813">
      <w:pPr>
        <w:pStyle w:val="Boxlist"/>
        <w:pBdr>
          <w:top w:val="single" w:sz="18" w:space="1" w:color="FDDBA5"/>
          <w:left w:val="single" w:sz="48" w:space="11" w:color="FDDBA5"/>
          <w:bottom w:val="single" w:sz="18" w:space="1" w:color="FDDBA5"/>
          <w:right w:val="single" w:sz="48" w:space="11" w:color="FDDBA5"/>
          <w:between w:val="single" w:sz="18" w:space="1" w:color="FDDBA5"/>
        </w:pBdr>
        <w:shd w:val="clear" w:color="auto" w:fill="FDDBA5"/>
        <w:ind w:left="784" w:hanging="358"/>
      </w:pPr>
      <w:r>
        <w:t xml:space="preserve">being treated </w:t>
      </w:r>
      <w:r w:rsidRPr="00E74509">
        <w:t>respect</w:t>
      </w:r>
      <w:r>
        <w:t>fully by staff</w:t>
      </w:r>
      <w:r w:rsidRPr="00E74509">
        <w:t xml:space="preserve">; </w:t>
      </w:r>
    </w:p>
    <w:p w14:paraId="53371ADF" w14:textId="77777777" w:rsidR="00D47813" w:rsidRDefault="00D47813" w:rsidP="00D47813">
      <w:pPr>
        <w:pStyle w:val="Boxlist"/>
        <w:pBdr>
          <w:top w:val="single" w:sz="18" w:space="1" w:color="FDDBA5"/>
          <w:left w:val="single" w:sz="48" w:space="11" w:color="FDDBA5"/>
          <w:bottom w:val="single" w:sz="18" w:space="1" w:color="FDDBA5"/>
          <w:right w:val="single" w:sz="48" w:space="11" w:color="FDDBA5"/>
          <w:between w:val="single" w:sz="18" w:space="1" w:color="FDDBA5"/>
        </w:pBdr>
        <w:shd w:val="clear" w:color="auto" w:fill="FDDBA5"/>
        <w:ind w:left="784" w:hanging="358"/>
      </w:pPr>
      <w:r w:rsidRPr="00E74509">
        <w:t xml:space="preserve">access to religious and spiritual life; </w:t>
      </w:r>
    </w:p>
    <w:p w14:paraId="040EC4B7" w14:textId="77777777" w:rsidR="00D47813" w:rsidRDefault="00D47813" w:rsidP="00D47813">
      <w:pPr>
        <w:pStyle w:val="Boxlist"/>
        <w:pBdr>
          <w:top w:val="single" w:sz="18" w:space="1" w:color="FDDBA5"/>
          <w:left w:val="single" w:sz="48" w:space="11" w:color="FDDBA5"/>
          <w:bottom w:val="single" w:sz="18" w:space="1" w:color="FDDBA5"/>
          <w:right w:val="single" w:sz="48" w:space="11" w:color="FDDBA5"/>
          <w:between w:val="single" w:sz="18" w:space="1" w:color="FDDBA5"/>
        </w:pBdr>
        <w:shd w:val="clear" w:color="auto" w:fill="FDDBA5"/>
        <w:ind w:left="784" w:hanging="358"/>
      </w:pPr>
      <w:r>
        <w:t>access to fresh and to healthy food</w:t>
      </w:r>
      <w:r w:rsidRPr="00E74509">
        <w:t xml:space="preserve">; </w:t>
      </w:r>
    </w:p>
    <w:p w14:paraId="459D62F1" w14:textId="77777777" w:rsidR="00D47813" w:rsidRDefault="00D47813" w:rsidP="00D47813">
      <w:pPr>
        <w:pStyle w:val="Boxlist"/>
        <w:pBdr>
          <w:top w:val="single" w:sz="18" w:space="1" w:color="FDDBA5"/>
          <w:left w:val="single" w:sz="48" w:space="11" w:color="FDDBA5"/>
          <w:bottom w:val="single" w:sz="18" w:space="1" w:color="FDDBA5"/>
          <w:right w:val="single" w:sz="48" w:space="11" w:color="FDDBA5"/>
          <w:between w:val="single" w:sz="18" w:space="1" w:color="FDDBA5"/>
        </w:pBdr>
        <w:shd w:val="clear" w:color="auto" w:fill="FDDBA5"/>
        <w:ind w:left="784" w:hanging="358"/>
      </w:pPr>
      <w:r w:rsidRPr="00E74509">
        <w:t>well-maintained facilities;</w:t>
      </w:r>
    </w:p>
    <w:p w14:paraId="41E995D0" w14:textId="77777777" w:rsidR="00D47813" w:rsidRDefault="00D47813" w:rsidP="00D47813">
      <w:pPr>
        <w:pStyle w:val="Boxlist"/>
        <w:pBdr>
          <w:top w:val="single" w:sz="18" w:space="1" w:color="FDDBA5"/>
          <w:left w:val="single" w:sz="48" w:space="11" w:color="FDDBA5"/>
          <w:bottom w:val="single" w:sz="18" w:space="1" w:color="FDDBA5"/>
          <w:right w:val="single" w:sz="48" w:space="11" w:color="FDDBA5"/>
          <w:between w:val="single" w:sz="18" w:space="1" w:color="FDDBA5"/>
        </w:pBdr>
        <w:shd w:val="clear" w:color="auto" w:fill="FDDBA5"/>
        <w:ind w:left="784" w:hanging="358"/>
      </w:pPr>
      <w:proofErr w:type="gramStart"/>
      <w:r w:rsidRPr="00E74509">
        <w:t>access</w:t>
      </w:r>
      <w:proofErr w:type="gramEnd"/>
      <w:r w:rsidRPr="00E74509">
        <w:t xml:space="preserve"> to basic toiletries, clothing and shoes.</w:t>
      </w:r>
      <w:r w:rsidRPr="00950B94">
        <w:rPr>
          <w:vertAlign w:val="superscript"/>
        </w:rPr>
        <w:footnoteReference w:id="28"/>
      </w:r>
    </w:p>
    <w:p w14:paraId="749F8AE7" w14:textId="77777777" w:rsidR="004E2C9E" w:rsidRDefault="004E2C9E" w:rsidP="004E2C9E">
      <w:pPr>
        <w:spacing w:before="200"/>
      </w:pPr>
      <w:bookmarkStart w:id="11" w:name="_Toc476310189"/>
    </w:p>
    <w:p w14:paraId="27490580" w14:textId="77777777" w:rsidR="004E2C9E" w:rsidRDefault="004E2C9E">
      <w:pPr>
        <w:spacing w:before="200"/>
        <w:rPr>
          <w:rFonts w:eastAsiaTheme="majorEastAsia" w:cstheme="majorBidi"/>
          <w:b/>
          <w:bCs/>
          <w:color w:val="E36C0A" w:themeColor="accent6" w:themeShade="BF"/>
          <w:sz w:val="32"/>
          <w:szCs w:val="26"/>
        </w:rPr>
      </w:pPr>
      <w:r>
        <w:br w:type="page"/>
      </w:r>
    </w:p>
    <w:p w14:paraId="3925135F" w14:textId="508C092E" w:rsidR="00D47813" w:rsidRPr="004E2C9E" w:rsidRDefault="00D47813" w:rsidP="004E2C9E">
      <w:pPr>
        <w:pStyle w:val="Heading2"/>
      </w:pPr>
      <w:r>
        <w:lastRenderedPageBreak/>
        <w:t xml:space="preserve">Undertake comprehensive assessment and provide </w:t>
      </w:r>
      <w:proofErr w:type="spellStart"/>
      <w:r>
        <w:t>personalised</w:t>
      </w:r>
      <w:proofErr w:type="spellEnd"/>
      <w:r>
        <w:t xml:space="preserve"> support</w:t>
      </w:r>
      <w:bookmarkEnd w:id="11"/>
    </w:p>
    <w:p w14:paraId="5E64EFF0" w14:textId="77777777" w:rsidR="00D47813" w:rsidRPr="008862B6" w:rsidRDefault="00D47813" w:rsidP="00D47813">
      <w:pPr>
        <w:pStyle w:val="Boxheading"/>
      </w:pPr>
      <w:r>
        <w:t>Recommendation</w:t>
      </w:r>
    </w:p>
    <w:p w14:paraId="6155AE84" w14:textId="6C5D98D6" w:rsidR="00D47813" w:rsidRDefault="00D47813" w:rsidP="00D47813">
      <w:pPr>
        <w:pStyle w:val="Boxlist"/>
        <w:ind w:left="851" w:hanging="425"/>
      </w:pPr>
      <w:r>
        <w:t>Undertake comprehensive assessments of every young person entering youth justice facilities and provide t</w:t>
      </w:r>
      <w:r w:rsidRPr="00FF35E9">
        <w:t>ailored</w:t>
      </w:r>
      <w:r>
        <w:t>,</w:t>
      </w:r>
      <w:r w:rsidRPr="00FF35E9">
        <w:t xml:space="preserve"> </w:t>
      </w:r>
      <w:r>
        <w:t xml:space="preserve">multidisciplinary </w:t>
      </w:r>
      <w:r w:rsidRPr="00FF35E9">
        <w:t xml:space="preserve">rehabilitative </w:t>
      </w:r>
      <w:r>
        <w:t>interventions and support</w:t>
      </w:r>
    </w:p>
    <w:p w14:paraId="2946246D" w14:textId="77777777" w:rsidR="003E7585" w:rsidRDefault="003E7585" w:rsidP="00D47813">
      <w:pPr>
        <w:rPr>
          <w:lang w:val="en-AU"/>
        </w:rPr>
      </w:pPr>
    </w:p>
    <w:p w14:paraId="2F14E01C" w14:textId="77777777" w:rsidR="00D47813" w:rsidRDefault="00D47813" w:rsidP="00D47813">
      <w:pPr>
        <w:rPr>
          <w:lang w:val="en-AU"/>
        </w:rPr>
      </w:pPr>
      <w:r>
        <w:rPr>
          <w:lang w:val="en-AU"/>
        </w:rPr>
        <w:t xml:space="preserve">Young people entering youth justice facilities often face multiple disadvantage and have complex needs. Undertaking a comprehensive </w:t>
      </w:r>
      <w:r>
        <w:t>assessment upon entry can identify these needs and for the basis of an individualised intervention plan.</w:t>
      </w:r>
      <w:r>
        <w:rPr>
          <w:rStyle w:val="FootnoteReference"/>
        </w:rPr>
        <w:footnoteReference w:id="29"/>
      </w:r>
      <w:r>
        <w:t xml:space="preserve"> </w:t>
      </w:r>
      <w:r>
        <w:rPr>
          <w:lang w:val="en-AU"/>
        </w:rPr>
        <w:t xml:space="preserve">VCOSS members report young people have inconsistent and limited assessments. </w:t>
      </w:r>
    </w:p>
    <w:p w14:paraId="4EE66A10" w14:textId="77777777" w:rsidR="00D47813" w:rsidRDefault="00D47813" w:rsidP="00D47813">
      <w:r>
        <w:rPr>
          <w:lang w:val="en-AU"/>
        </w:rPr>
        <w:t>M</w:t>
      </w:r>
      <w:r w:rsidRPr="00DF57BF">
        <w:rPr>
          <w:szCs w:val="22"/>
          <w:lang w:val="en-AU"/>
        </w:rPr>
        <w:t>ulti-disciplinary</w:t>
      </w:r>
      <w:r>
        <w:rPr>
          <w:szCs w:val="22"/>
          <w:lang w:val="en-AU"/>
        </w:rPr>
        <w:t>, individually tailored</w:t>
      </w:r>
      <w:r w:rsidRPr="00DF57BF">
        <w:rPr>
          <w:szCs w:val="22"/>
          <w:lang w:val="en-AU"/>
        </w:rPr>
        <w:t xml:space="preserve"> interventions</w:t>
      </w:r>
      <w:r>
        <w:rPr>
          <w:szCs w:val="22"/>
          <w:lang w:val="en-AU"/>
        </w:rPr>
        <w:t xml:space="preserve"> can </w:t>
      </w:r>
      <w:r w:rsidRPr="00DF57BF">
        <w:rPr>
          <w:szCs w:val="22"/>
          <w:lang w:val="en-AU"/>
        </w:rPr>
        <w:t xml:space="preserve">place </w:t>
      </w:r>
      <w:r>
        <w:rPr>
          <w:szCs w:val="22"/>
          <w:lang w:val="en-AU"/>
        </w:rPr>
        <w:t>young people</w:t>
      </w:r>
      <w:r w:rsidRPr="00DF57BF">
        <w:rPr>
          <w:szCs w:val="22"/>
          <w:lang w:val="en-AU"/>
        </w:rPr>
        <w:t xml:space="preserve"> on a positive pathway</w:t>
      </w:r>
      <w:r>
        <w:rPr>
          <w:szCs w:val="22"/>
          <w:lang w:val="en-AU"/>
        </w:rPr>
        <w:t xml:space="preserve"> for future success</w:t>
      </w:r>
      <w:r w:rsidRPr="00DF57BF">
        <w:rPr>
          <w:szCs w:val="22"/>
          <w:lang w:val="en-AU"/>
        </w:rPr>
        <w:t xml:space="preserve">. This may include </w:t>
      </w:r>
      <w:r w:rsidRPr="00DF57BF">
        <w:t>educational programs, health and mental health services, alcohol and drug services, disability support, and family based interventions</w:t>
      </w:r>
      <w:r>
        <w:t>, delivered by a</w:t>
      </w:r>
      <w:r w:rsidRPr="00DF57BF">
        <w:t xml:space="preserve">ppropriately skilled workers and professionals. </w:t>
      </w:r>
    </w:p>
    <w:p w14:paraId="526F9E5D" w14:textId="77777777" w:rsidR="003E7585" w:rsidRDefault="003E7585" w:rsidP="00D47813">
      <w:pPr>
        <w:pStyle w:val="Heading2"/>
      </w:pPr>
      <w:bookmarkStart w:id="12" w:name="_Toc476310190"/>
    </w:p>
    <w:p w14:paraId="787FC41F" w14:textId="77777777" w:rsidR="00D47813" w:rsidRDefault="00D47813" w:rsidP="00D47813">
      <w:pPr>
        <w:pStyle w:val="Heading2"/>
      </w:pPr>
      <w:r>
        <w:t>Maintain education access</w:t>
      </w:r>
      <w:bookmarkEnd w:id="12"/>
    </w:p>
    <w:p w14:paraId="5893D112" w14:textId="77777777" w:rsidR="00D47813" w:rsidRPr="00873CBE" w:rsidRDefault="00D47813" w:rsidP="00D47813">
      <w:pPr>
        <w:pStyle w:val="Boxheading"/>
      </w:pPr>
      <w:r w:rsidRPr="00873CBE">
        <w:t>Recommendation</w:t>
      </w:r>
    </w:p>
    <w:p w14:paraId="39C88A76" w14:textId="77777777" w:rsidR="00D47813" w:rsidRDefault="00D47813" w:rsidP="00D47813">
      <w:pPr>
        <w:pStyle w:val="Boxlist"/>
        <w:ind w:left="851" w:hanging="425"/>
      </w:pPr>
      <w:r>
        <w:t>Keep Parkville College</w:t>
      </w:r>
    </w:p>
    <w:p w14:paraId="5D74B26C" w14:textId="401B24BF" w:rsidR="00D47813" w:rsidRDefault="00D47813" w:rsidP="00D47813">
      <w:pPr>
        <w:pStyle w:val="Boxlist"/>
        <w:ind w:left="851" w:hanging="425"/>
      </w:pPr>
      <w:r>
        <w:t>Provide young people in justice facili</w:t>
      </w:r>
      <w:r w:rsidR="004E2C9E">
        <w:t>ties with meaningful education</w:t>
      </w:r>
    </w:p>
    <w:p w14:paraId="02F0295E" w14:textId="77777777" w:rsidR="003E7585" w:rsidRDefault="003E7585" w:rsidP="00D47813"/>
    <w:p w14:paraId="60EDC61A" w14:textId="77777777" w:rsidR="00D47813" w:rsidRDefault="00D47813" w:rsidP="00D47813">
      <w:r>
        <w:t>Maintaining</w:t>
      </w:r>
      <w:r w:rsidRPr="0005197E">
        <w:t xml:space="preserve"> Parkville College </w:t>
      </w:r>
      <w:r>
        <w:t>to</w:t>
      </w:r>
      <w:r w:rsidRPr="0005197E">
        <w:t xml:space="preserve"> offer education programs 7 days </w:t>
      </w:r>
      <w:r>
        <w:t xml:space="preserve">per week, </w:t>
      </w:r>
      <w:r w:rsidRPr="0005197E">
        <w:t>52 weeks per year</w:t>
      </w:r>
      <w:r>
        <w:t>,</w:t>
      </w:r>
      <w:r w:rsidRPr="0005197E">
        <w:t xml:space="preserve"> to </w:t>
      </w:r>
      <w:r>
        <w:t>every</w:t>
      </w:r>
      <w:r w:rsidRPr="0005197E">
        <w:t xml:space="preserve"> young people in </w:t>
      </w:r>
      <w:r>
        <w:t>custody</w:t>
      </w:r>
      <w:r w:rsidRPr="0005197E">
        <w:t>, can help</w:t>
      </w:r>
      <w:r>
        <w:t xml:space="preserve"> their</w:t>
      </w:r>
      <w:r w:rsidRPr="0005197E">
        <w:t xml:space="preserve"> rehabil</w:t>
      </w:r>
      <w:r>
        <w:t xml:space="preserve">itation </w:t>
      </w:r>
      <w:r w:rsidRPr="0005197E">
        <w:t xml:space="preserve">and improve their life chances. </w:t>
      </w:r>
    </w:p>
    <w:p w14:paraId="1CD5D0BA" w14:textId="77777777" w:rsidR="00D47813" w:rsidRPr="004D0E37" w:rsidRDefault="00D47813" w:rsidP="00D47813">
      <w:r w:rsidRPr="0005197E">
        <w:t>All children and young people have a right to access high quality education.</w:t>
      </w:r>
      <w:r w:rsidRPr="0005197E">
        <w:rPr>
          <w:vertAlign w:val="superscript"/>
        </w:rPr>
        <w:footnoteReference w:id="30"/>
      </w:r>
      <w:r w:rsidRPr="0005197E">
        <w:rPr>
          <w:vertAlign w:val="superscript"/>
        </w:rPr>
        <w:t xml:space="preserve"> </w:t>
      </w:r>
      <w:r>
        <w:t xml:space="preserve">Parkville College </w:t>
      </w:r>
      <w:r w:rsidRPr="0005197E">
        <w:t>provides a therapeutic environment of learning and delivers the Victorian Certificate of Applied Learning and the Victorian Certificate of Education.</w:t>
      </w:r>
      <w:r w:rsidRPr="0005197E">
        <w:rPr>
          <w:vertAlign w:val="superscript"/>
        </w:rPr>
        <w:footnoteReference w:id="31"/>
      </w:r>
      <w:r w:rsidRPr="0005197E">
        <w:rPr>
          <w:vertAlign w:val="superscript"/>
        </w:rPr>
        <w:t xml:space="preserve"> </w:t>
      </w:r>
      <w:r>
        <w:t>Now a</w:t>
      </w:r>
      <w:r w:rsidRPr="0005197E">
        <w:t xml:space="preserve">vailable </w:t>
      </w:r>
      <w:r>
        <w:t>in</w:t>
      </w:r>
      <w:r w:rsidRPr="0005197E">
        <w:t xml:space="preserve"> all youth justice facilities</w:t>
      </w:r>
      <w:r>
        <w:t>,</w:t>
      </w:r>
      <w:r w:rsidRPr="0005197E">
        <w:t xml:space="preserve"> Parkville College was established in 2012, in response to recommendations from the </w:t>
      </w:r>
      <w:r>
        <w:t xml:space="preserve">2010 </w:t>
      </w:r>
      <w:r w:rsidRPr="0005197E">
        <w:lastRenderedPageBreak/>
        <w:t>Ombudsman</w:t>
      </w:r>
      <w:r>
        <w:t>’s</w:t>
      </w:r>
      <w:r w:rsidRPr="0005197E">
        <w:t xml:space="preserve"> report</w:t>
      </w:r>
      <w:r>
        <w:t>.</w:t>
      </w:r>
      <w:r w:rsidRPr="0005197E">
        <w:t xml:space="preserve"> More recently </w:t>
      </w:r>
      <w:r>
        <w:t xml:space="preserve">it </w:t>
      </w:r>
      <w:r w:rsidRPr="0005197E">
        <w:t xml:space="preserve">began offering a Koori Cultural </w:t>
      </w:r>
      <w:r w:rsidRPr="004D0E37">
        <w:t>Program</w:t>
      </w:r>
      <w:r>
        <w:t>,</w:t>
      </w:r>
      <w:r w:rsidRPr="004D0E37">
        <w:rPr>
          <w:vertAlign w:val="superscript"/>
        </w:rPr>
        <w:footnoteReference w:id="32"/>
      </w:r>
      <w:r w:rsidRPr="004D0E37">
        <w:t xml:space="preserve"> </w:t>
      </w:r>
      <w:r>
        <w:t>and</w:t>
      </w:r>
      <w:r w:rsidRPr="004D0E37">
        <w:t xml:space="preserve"> operates a Flexible Learning Centre </w:t>
      </w:r>
      <w:r>
        <w:t>for</w:t>
      </w:r>
      <w:r w:rsidRPr="004D0E37">
        <w:t xml:space="preserve"> students to continue </w:t>
      </w:r>
      <w:r>
        <w:t>studying</w:t>
      </w:r>
      <w:r w:rsidRPr="004D0E37">
        <w:t xml:space="preserve"> </w:t>
      </w:r>
      <w:r>
        <w:t>after leaving</w:t>
      </w:r>
      <w:r w:rsidRPr="004D0E37">
        <w:t xml:space="preserve"> custody.</w:t>
      </w:r>
      <w:r w:rsidRPr="004D0E37">
        <w:rPr>
          <w:vertAlign w:val="superscript"/>
        </w:rPr>
        <w:footnoteReference w:id="33"/>
      </w:r>
    </w:p>
    <w:p w14:paraId="51B53E05" w14:textId="77777777" w:rsidR="00D47813" w:rsidRDefault="00D47813" w:rsidP="00D47813">
      <w:r w:rsidRPr="004D0E37">
        <w:t xml:space="preserve">VCOSS members report Parkville College </w:t>
      </w:r>
      <w:r>
        <w:t xml:space="preserve">is </w:t>
      </w:r>
      <w:r w:rsidRPr="004D0E37">
        <w:t>working effectively to support the education and of wellbeing young people, and praise the trauma informed approach taken</w:t>
      </w:r>
      <w:r>
        <w:t>.</w:t>
      </w:r>
      <w:r w:rsidRPr="004D0E37">
        <w:rPr>
          <w:vertAlign w:val="superscript"/>
        </w:rPr>
        <w:footnoteReference w:id="34"/>
      </w:r>
      <w:r w:rsidRPr="0005197E">
        <w:t xml:space="preserve"> </w:t>
      </w:r>
    </w:p>
    <w:p w14:paraId="1F1B3DDD" w14:textId="77777777" w:rsidR="003E7585" w:rsidRDefault="003E7585" w:rsidP="00D47813">
      <w:pPr>
        <w:pStyle w:val="Heading2"/>
      </w:pPr>
      <w:bookmarkStart w:id="13" w:name="_Toc476310191"/>
    </w:p>
    <w:p w14:paraId="3119267A" w14:textId="77777777" w:rsidR="00D47813" w:rsidRDefault="00D47813" w:rsidP="00D47813">
      <w:pPr>
        <w:pStyle w:val="Heading2"/>
      </w:pPr>
      <w:r>
        <w:t>Improve staff capacity and capabilities</w:t>
      </w:r>
      <w:bookmarkEnd w:id="13"/>
    </w:p>
    <w:p w14:paraId="2CE5D5F0" w14:textId="77777777" w:rsidR="00D47813" w:rsidRPr="008862B6" w:rsidRDefault="00D47813" w:rsidP="00D47813">
      <w:pPr>
        <w:pStyle w:val="Boxheading"/>
      </w:pPr>
      <w:r>
        <w:t>Recommendations</w:t>
      </w:r>
    </w:p>
    <w:p w14:paraId="084D13D6" w14:textId="6E1D58EE" w:rsidR="00D47813" w:rsidRDefault="00D47813" w:rsidP="00D47813">
      <w:pPr>
        <w:pStyle w:val="Boxlist"/>
        <w:ind w:left="851" w:hanging="425"/>
      </w:pPr>
      <w:r>
        <w:t xml:space="preserve">Maintain low </w:t>
      </w:r>
      <w:r w:rsidR="004E2C9E">
        <w:t>ratios of staff to young people</w:t>
      </w:r>
      <w:r>
        <w:t xml:space="preserve"> </w:t>
      </w:r>
    </w:p>
    <w:p w14:paraId="0FFE9C56" w14:textId="7A68B8A4" w:rsidR="00D47813" w:rsidRDefault="00D47813" w:rsidP="00D47813">
      <w:pPr>
        <w:pStyle w:val="Boxlist"/>
        <w:ind w:left="851" w:hanging="425"/>
      </w:pPr>
      <w:r>
        <w:t>Ensure staff are suitably qualified and trained in trauma</w:t>
      </w:r>
      <w:r w:rsidR="004E2C9E">
        <w:t>-informed therapeutic practice</w:t>
      </w:r>
    </w:p>
    <w:p w14:paraId="73211D3A" w14:textId="77777777" w:rsidR="003E7585" w:rsidRDefault="003E7585" w:rsidP="00D47813"/>
    <w:p w14:paraId="35C04D6F" w14:textId="77777777" w:rsidR="00D47813" w:rsidRPr="00FD767E" w:rsidRDefault="00D47813" w:rsidP="00D47813">
      <w:r>
        <w:t>Both the Parkville and Malmsbury facilities experience</w:t>
      </w:r>
      <w:r w:rsidDel="00201D72">
        <w:t xml:space="preserve"> </w:t>
      </w:r>
      <w:r>
        <w:t xml:space="preserve">chronic staff shortages. The Victorian Ombudsman found the creation of the Grevillea unit at </w:t>
      </w:r>
      <w:proofErr w:type="spellStart"/>
      <w:r>
        <w:t>Barwon’s</w:t>
      </w:r>
      <w:proofErr w:type="spellEnd"/>
      <w:r>
        <w:t xml:space="preserve"> maximum security adult prison has exacerbated the problem.</w:t>
      </w:r>
      <w:r>
        <w:rPr>
          <w:rStyle w:val="FootnoteReference"/>
        </w:rPr>
        <w:footnoteReference w:id="35"/>
      </w:r>
      <w:r>
        <w:t xml:space="preserve"> </w:t>
      </w:r>
      <w:r w:rsidRPr="00FD767E">
        <w:t>For instance, VCOSS members report examples of only two staff members present in units where eight staff</w:t>
      </w:r>
      <w:r>
        <w:t xml:space="preserve"> are required</w:t>
      </w:r>
      <w:r w:rsidRPr="00FD767E">
        <w:t xml:space="preserve">. </w:t>
      </w:r>
    </w:p>
    <w:p w14:paraId="2D676C06" w14:textId="77777777" w:rsidR="00D47813" w:rsidRPr="00423AC0" w:rsidRDefault="00D47813" w:rsidP="00D47813">
      <w:pPr>
        <w:rPr>
          <w:lang w:eastAsia="en-AU"/>
        </w:rPr>
      </w:pPr>
      <w:r w:rsidRPr="00423AC0">
        <w:t>Inadequate staff</w:t>
      </w:r>
      <w:r>
        <w:t xml:space="preserve"> and</w:t>
      </w:r>
      <w:r w:rsidRPr="00423AC0">
        <w:t xml:space="preserve"> overcrowdin</w:t>
      </w:r>
      <w:r>
        <w:t>g have precipitated</w:t>
      </w:r>
      <w:r w:rsidRPr="00423AC0">
        <w:t xml:space="preserve"> </w:t>
      </w:r>
      <w:r>
        <w:t>over</w:t>
      </w:r>
      <w:r w:rsidRPr="00423AC0">
        <w:t>use of lockdowns in Parkville, Malmsbury and Grevillea.</w:t>
      </w:r>
      <w:r w:rsidRPr="00830F83">
        <w:rPr>
          <w:vertAlign w:val="superscript"/>
        </w:rPr>
        <w:footnoteReference w:id="36"/>
      </w:r>
      <w:r w:rsidRPr="00830F83">
        <w:rPr>
          <w:vertAlign w:val="superscript"/>
        </w:rPr>
        <w:t xml:space="preserve"> </w:t>
      </w:r>
      <w:r w:rsidRPr="00423AC0">
        <w:t xml:space="preserve">In some cases, young people have been kept in their cells for up to 22 or 23 hours </w:t>
      </w:r>
      <w:r>
        <w:t>each</w:t>
      </w:r>
      <w:r w:rsidRPr="00423AC0">
        <w:t xml:space="preserve"> day.</w:t>
      </w:r>
      <w:r w:rsidRPr="00830F83">
        <w:rPr>
          <w:vertAlign w:val="superscript"/>
        </w:rPr>
        <w:footnoteReference w:id="37"/>
      </w:r>
      <w:r w:rsidRPr="00830F83">
        <w:rPr>
          <w:vertAlign w:val="superscript"/>
        </w:rPr>
        <w:t xml:space="preserve"> </w:t>
      </w:r>
      <w:r w:rsidRPr="00423AC0">
        <w:t xml:space="preserve">This is detrimental to young people’s rehabilitation and mental health, particularly given the high rates of young people who have experienced trauma and have existing mental health conditions. Lockdowns create further unrest and exacerbate tensions between young people and staff. </w:t>
      </w:r>
      <w:r>
        <w:t>VCOSS m</w:t>
      </w:r>
      <w:r w:rsidRPr="00423AC0">
        <w:t>embers report excessive</w:t>
      </w:r>
      <w:r>
        <w:t xml:space="preserve"> </w:t>
      </w:r>
      <w:r w:rsidRPr="00423AC0">
        <w:t xml:space="preserve">lockdowns </w:t>
      </w:r>
      <w:r>
        <w:t>are</w:t>
      </w:r>
      <w:r w:rsidRPr="00423AC0">
        <w:t xml:space="preserve"> a major contributor to </w:t>
      </w:r>
      <w:r>
        <w:t>recent</w:t>
      </w:r>
      <w:r w:rsidRPr="00423AC0">
        <w:t xml:space="preserve"> incidents at youth justice facilities.  </w:t>
      </w:r>
    </w:p>
    <w:p w14:paraId="73A7EDB4" w14:textId="77777777" w:rsidR="00D47813" w:rsidRPr="00423AC0" w:rsidRDefault="00D47813" w:rsidP="00D47813">
      <w:pPr>
        <w:rPr>
          <w:lang w:eastAsia="en-AU"/>
        </w:rPr>
      </w:pPr>
      <w:r w:rsidRPr="00423AC0">
        <w:rPr>
          <w:lang w:eastAsia="en-AU"/>
        </w:rPr>
        <w:t>Lower ratios of staff to young people</w:t>
      </w:r>
      <w:r>
        <w:rPr>
          <w:lang w:eastAsia="en-AU"/>
        </w:rPr>
        <w:t>,</w:t>
      </w:r>
      <w:r w:rsidRPr="00423AC0">
        <w:rPr>
          <w:lang w:eastAsia="en-AU"/>
        </w:rPr>
        <w:t xml:space="preserve"> </w:t>
      </w:r>
      <w:r>
        <w:rPr>
          <w:lang w:eastAsia="en-AU"/>
        </w:rPr>
        <w:t>stronger staff retention, improved management support to staff and more regular staff rosters</w:t>
      </w:r>
      <w:r w:rsidRPr="00423AC0">
        <w:rPr>
          <w:lang w:eastAsia="en-AU"/>
        </w:rPr>
        <w:t xml:space="preserve"> can</w:t>
      </w:r>
      <w:r>
        <w:rPr>
          <w:lang w:eastAsia="en-AU"/>
        </w:rPr>
        <w:t xml:space="preserve"> all</w:t>
      </w:r>
      <w:r w:rsidRPr="00423AC0">
        <w:rPr>
          <w:lang w:eastAsia="en-AU"/>
        </w:rPr>
        <w:t xml:space="preserve"> help reduce unnecessary lockdowns</w:t>
      </w:r>
      <w:r>
        <w:rPr>
          <w:lang w:eastAsia="en-AU"/>
        </w:rPr>
        <w:t>.</w:t>
      </w:r>
      <w:r w:rsidRPr="00423AC0">
        <w:rPr>
          <w:lang w:eastAsia="en-AU"/>
        </w:rPr>
        <w:t xml:space="preserve"> </w:t>
      </w:r>
      <w:r>
        <w:rPr>
          <w:lang w:eastAsia="en-AU"/>
        </w:rPr>
        <w:t>They</w:t>
      </w:r>
      <w:r w:rsidRPr="00423AC0">
        <w:rPr>
          <w:lang w:eastAsia="en-AU"/>
        </w:rPr>
        <w:t xml:space="preserve"> also foster positive relationships between staff and young people and </w:t>
      </w:r>
      <w:r>
        <w:rPr>
          <w:lang w:eastAsia="en-AU"/>
        </w:rPr>
        <w:t xml:space="preserve">allow </w:t>
      </w:r>
      <w:r w:rsidRPr="00423AC0">
        <w:rPr>
          <w:lang w:eastAsia="en-AU"/>
        </w:rPr>
        <w:t xml:space="preserve">staff to pay closer attention to their </w:t>
      </w:r>
      <w:r>
        <w:rPr>
          <w:lang w:eastAsia="en-AU"/>
        </w:rPr>
        <w:t xml:space="preserve">individual </w:t>
      </w:r>
      <w:r w:rsidRPr="00423AC0">
        <w:rPr>
          <w:lang w:eastAsia="en-AU"/>
        </w:rPr>
        <w:t xml:space="preserve">needs. </w:t>
      </w:r>
      <w:r>
        <w:rPr>
          <w:lang w:eastAsia="en-AU"/>
        </w:rPr>
        <w:t xml:space="preserve">VCOSS members report constant staff changes make it difficult to form positive relationships and exacerbate inconsistent practices. </w:t>
      </w:r>
    </w:p>
    <w:p w14:paraId="0C571631" w14:textId="77777777" w:rsidR="00D47813" w:rsidRDefault="00D47813" w:rsidP="00D47813">
      <w:pPr>
        <w:rPr>
          <w:rFonts w:cs="National Book"/>
          <w:color w:val="000000"/>
        </w:rPr>
      </w:pPr>
      <w:r>
        <w:rPr>
          <w:lang w:eastAsia="en-AU"/>
        </w:rPr>
        <w:lastRenderedPageBreak/>
        <w:t xml:space="preserve">VCOSS members also report staff require a better skills in de-escalation, especially in an environment where young people have experienced trauma, exhibit challenging behaviours and have mental health </w:t>
      </w:r>
      <w:r w:rsidRPr="00423AC0">
        <w:rPr>
          <w:lang w:eastAsia="en-AU"/>
        </w:rPr>
        <w:t xml:space="preserve">conditions. </w:t>
      </w:r>
      <w:r w:rsidRPr="00830F83">
        <w:rPr>
          <w:lang w:eastAsia="en-AU"/>
        </w:rPr>
        <w:t xml:space="preserve">Potential models include </w:t>
      </w:r>
      <w:r>
        <w:rPr>
          <w:lang w:eastAsia="en-AU"/>
        </w:rPr>
        <w:t xml:space="preserve">therapeutic crisis intervention, </w:t>
      </w:r>
      <w:r w:rsidRPr="00830F83">
        <w:rPr>
          <w:lang w:eastAsia="en-AU"/>
        </w:rPr>
        <w:t xml:space="preserve">currently used in the residential care setting to help prevent and de-escalate </w:t>
      </w:r>
      <w:proofErr w:type="gramStart"/>
      <w:r w:rsidRPr="00830F83">
        <w:rPr>
          <w:lang w:eastAsia="en-AU"/>
        </w:rPr>
        <w:t>crises.</w:t>
      </w:r>
      <w:r w:rsidRPr="00943234">
        <w:rPr>
          <w:vertAlign w:val="superscript"/>
          <w:lang w:eastAsia="en-AU"/>
        </w:rPr>
        <w:footnoteReference w:id="38"/>
      </w:r>
      <w:r w:rsidRPr="00943234">
        <w:rPr>
          <w:vertAlign w:val="superscript"/>
          <w:lang w:eastAsia="en-AU"/>
        </w:rPr>
        <w:t>,</w:t>
      </w:r>
      <w:proofErr w:type="gramEnd"/>
      <w:r w:rsidRPr="00943234">
        <w:rPr>
          <w:rStyle w:val="FootnoteReference"/>
          <w:lang w:eastAsia="en-AU"/>
        </w:rPr>
        <w:footnoteReference w:id="39"/>
      </w:r>
      <w:r w:rsidRPr="00830F83">
        <w:rPr>
          <w:lang w:eastAsia="en-AU"/>
        </w:rPr>
        <w:t xml:space="preserve"> </w:t>
      </w:r>
      <w:r>
        <w:rPr>
          <w:rFonts w:cs="National Book"/>
          <w:color w:val="000000"/>
        </w:rPr>
        <w:t xml:space="preserve">Providing comprehensive training in </w:t>
      </w:r>
      <w:r w:rsidRPr="00830F83">
        <w:rPr>
          <w:lang w:eastAsia="en-AU"/>
        </w:rPr>
        <w:t>trauma informed practice</w:t>
      </w:r>
      <w:r w:rsidRPr="00423AC0">
        <w:rPr>
          <w:bCs/>
        </w:rPr>
        <w:t xml:space="preserve"> </w:t>
      </w:r>
      <w:r>
        <w:rPr>
          <w:rFonts w:cs="National Book"/>
          <w:color w:val="000000"/>
        </w:rPr>
        <w:t>and a clearly articulated model of care helps improve practice consistency and embed routine.</w:t>
      </w:r>
    </w:p>
    <w:p w14:paraId="54DF9E62" w14:textId="77777777" w:rsidR="004E2C9E" w:rsidRPr="00423AC0" w:rsidRDefault="004E2C9E" w:rsidP="00D47813"/>
    <w:p w14:paraId="03FB1CC3" w14:textId="77777777" w:rsidR="00D47813" w:rsidRDefault="00D47813" w:rsidP="00D47813">
      <w:pPr>
        <w:pStyle w:val="Heading2"/>
      </w:pPr>
      <w:bookmarkStart w:id="14" w:name="_Toc476310192"/>
      <w:r>
        <w:t>Use isolation as a last resort only</w:t>
      </w:r>
      <w:bookmarkEnd w:id="14"/>
    </w:p>
    <w:p w14:paraId="538B18D7" w14:textId="08FEAEDB" w:rsidR="00D47813" w:rsidRPr="00873CBE" w:rsidRDefault="00D47813" w:rsidP="00D47813">
      <w:pPr>
        <w:pStyle w:val="Boxheading"/>
      </w:pPr>
      <w:r>
        <w:t>Recommendation</w:t>
      </w:r>
      <w:r w:rsidR="004E2C9E">
        <w:t>s</w:t>
      </w:r>
    </w:p>
    <w:p w14:paraId="1A44CC32" w14:textId="77777777" w:rsidR="00D47813" w:rsidRDefault="00D47813" w:rsidP="00D47813">
      <w:pPr>
        <w:pStyle w:val="Boxlist"/>
        <w:ind w:left="851" w:hanging="425"/>
      </w:pPr>
      <w:r w:rsidRPr="00873CBE">
        <w:t>Prohibit solitary confinement of any duration for children</w:t>
      </w:r>
    </w:p>
    <w:p w14:paraId="5C5A56B4" w14:textId="23C52553" w:rsidR="00D47813" w:rsidRPr="00873CBE" w:rsidRDefault="00D47813" w:rsidP="00D47813">
      <w:pPr>
        <w:pStyle w:val="Boxlist"/>
        <w:ind w:left="851" w:hanging="425"/>
      </w:pPr>
      <w:r>
        <w:t>I</w:t>
      </w:r>
      <w:r w:rsidRPr="00873CBE">
        <w:t>ntroduce clear maximum time limits on the use of other fo</w:t>
      </w:r>
      <w:r w:rsidR="004E2C9E">
        <w:t>rms of isolation</w:t>
      </w:r>
    </w:p>
    <w:p w14:paraId="586B2105" w14:textId="77777777" w:rsidR="003E7585" w:rsidRDefault="003E7585" w:rsidP="00D47813">
      <w:pPr>
        <w:rPr>
          <w:lang w:val="en-AU"/>
        </w:rPr>
      </w:pPr>
    </w:p>
    <w:p w14:paraId="10BD2E9B" w14:textId="77777777" w:rsidR="00D47813" w:rsidRDefault="00D47813" w:rsidP="00D47813">
      <w:pPr>
        <w:rPr>
          <w:rFonts w:ascii="Karla" w:hAnsi="Karla"/>
          <w:sz w:val="24"/>
        </w:rPr>
      </w:pPr>
      <w:r>
        <w:rPr>
          <w:lang w:val="en-AU"/>
        </w:rPr>
        <w:t xml:space="preserve">VCOSS members are concerned isolation, separation and lockdowns are inappropriately used in youth justice centres. For instance, they are frequently used as behaviour </w:t>
      </w:r>
      <w:r w:rsidRPr="00174491">
        <w:rPr>
          <w:lang w:val="en-AU"/>
        </w:rPr>
        <w:t xml:space="preserve">management </w:t>
      </w:r>
      <w:r>
        <w:rPr>
          <w:lang w:val="en-AU"/>
        </w:rPr>
        <w:t xml:space="preserve">tools </w:t>
      </w:r>
      <w:r w:rsidRPr="00174491">
        <w:rPr>
          <w:lang w:val="en-AU"/>
        </w:rPr>
        <w:t>due to staff shortages.</w:t>
      </w:r>
      <w:r>
        <w:rPr>
          <w:lang w:val="en-AU"/>
        </w:rPr>
        <w:t xml:space="preserve"> There are also reports young people in </w:t>
      </w:r>
      <w:r w:rsidRPr="00E00BEE">
        <w:rPr>
          <w:lang w:val="en-AU"/>
        </w:rPr>
        <w:t>Barwon’s grevillea unit are experiencing solitary confinement.</w:t>
      </w:r>
      <w:r>
        <w:rPr>
          <w:rStyle w:val="FootnoteReference"/>
          <w:lang w:val="en-AU"/>
        </w:rPr>
        <w:footnoteReference w:id="40"/>
      </w:r>
      <w:r w:rsidRPr="00E00BEE">
        <w:rPr>
          <w:lang w:val="en-AU"/>
        </w:rPr>
        <w:t xml:space="preserve"> </w:t>
      </w:r>
      <w:r>
        <w:rPr>
          <w:lang w:val="en-AU"/>
        </w:rPr>
        <w:t>T</w:t>
      </w:r>
      <w:r>
        <w:t xml:space="preserve">he </w:t>
      </w:r>
      <w:r w:rsidRPr="003F088D">
        <w:rPr>
          <w:i/>
        </w:rPr>
        <w:t>Children, Youth and Families Act</w:t>
      </w:r>
      <w:r>
        <w:rPr>
          <w:i/>
        </w:rPr>
        <w:t xml:space="preserve"> 2005</w:t>
      </w:r>
      <w:r w:rsidRPr="007645CB">
        <w:t xml:space="preserve"> </w:t>
      </w:r>
      <w:r>
        <w:t xml:space="preserve">currently permits the use of isolation in </w:t>
      </w:r>
      <w:r w:rsidRPr="00C61331">
        <w:t xml:space="preserve">youth justice </w:t>
      </w:r>
      <w:r>
        <w:t>facilities,</w:t>
      </w:r>
      <w:r w:rsidRPr="003F088D">
        <w:t xml:space="preserve"> </w:t>
      </w:r>
      <w:r>
        <w:t>but</w:t>
      </w:r>
      <w:r w:rsidRPr="003F088D">
        <w:t xml:space="preserve"> is intend</w:t>
      </w:r>
      <w:r>
        <w:t>ed to be a last resort when all other reasonable steps have been taken, and where there is an immediate threat to the safety of any young person, staff or property.</w:t>
      </w:r>
      <w:r>
        <w:rPr>
          <w:rStyle w:val="FootnoteReference"/>
        </w:rPr>
        <w:footnoteReference w:id="41"/>
      </w:r>
      <w:r>
        <w:t xml:space="preserve"> </w:t>
      </w:r>
    </w:p>
    <w:p w14:paraId="44B1A369" w14:textId="77777777" w:rsidR="00D47813" w:rsidRPr="00873CBE" w:rsidRDefault="00D47813" w:rsidP="00D47813">
      <w:pPr>
        <w:rPr>
          <w:szCs w:val="22"/>
          <w:lang w:val="en-AU"/>
        </w:rPr>
      </w:pPr>
      <w:r w:rsidRPr="00627BE3">
        <w:rPr>
          <w:sz w:val="23"/>
          <w:szCs w:val="23"/>
        </w:rPr>
        <w:t>Isolation negatively</w:t>
      </w:r>
      <w:r>
        <w:rPr>
          <w:lang w:val="en-AU"/>
        </w:rPr>
        <w:t xml:space="preserve"> affects young people’s mental health, particularly those with a history of trauma and mental health conditions. </w:t>
      </w:r>
      <w:r w:rsidRPr="00090931">
        <w:rPr>
          <w:szCs w:val="22"/>
          <w:lang w:val="en-AU"/>
        </w:rPr>
        <w:t xml:space="preserve">The </w:t>
      </w:r>
      <w:r w:rsidRPr="00090931">
        <w:rPr>
          <w:szCs w:val="22"/>
        </w:rPr>
        <w:t xml:space="preserve">Australian Children's Commissioners and Guardians warn against the use of isolation for </w:t>
      </w:r>
      <w:r w:rsidRPr="00ED2AB3">
        <w:rPr>
          <w:szCs w:val="22"/>
        </w:rPr>
        <w:t>children with developmental disabilities or psychosocial problems</w:t>
      </w:r>
      <w:r w:rsidRPr="00090931">
        <w:rPr>
          <w:rStyle w:val="FootnoteReference"/>
          <w:szCs w:val="22"/>
        </w:rPr>
        <w:t xml:space="preserve"> </w:t>
      </w:r>
      <w:r w:rsidRPr="00090931">
        <w:rPr>
          <w:rStyle w:val="FootnoteReference"/>
          <w:szCs w:val="22"/>
        </w:rPr>
        <w:footnoteReference w:id="42"/>
      </w:r>
      <w:r w:rsidRPr="00090931">
        <w:rPr>
          <w:rStyle w:val="FootnoteReference"/>
          <w:szCs w:val="22"/>
        </w:rPr>
        <w:t xml:space="preserve"> </w:t>
      </w:r>
      <w:r w:rsidRPr="00090931">
        <w:rPr>
          <w:szCs w:val="22"/>
          <w:lang w:val="en-AU"/>
        </w:rPr>
        <w:t>and states</w:t>
      </w:r>
      <w:r w:rsidRPr="00ED2AB3">
        <w:rPr>
          <w:szCs w:val="22"/>
        </w:rPr>
        <w:t xml:space="preserve"> “it is impossible to reconcile seclusion with the “best interests” of the child as it serves no integrative or rehabilitative objective. Children in detention are particularly susceptible to medical, social and psychological problems which can be seriously exacerbated by the use of seclusion cells or being left alone in their own cells for extended periods of time</w:t>
      </w:r>
      <w:r>
        <w:rPr>
          <w:szCs w:val="22"/>
        </w:rPr>
        <w:t>.</w:t>
      </w:r>
      <w:r w:rsidRPr="00ED2AB3">
        <w:rPr>
          <w:szCs w:val="22"/>
        </w:rPr>
        <w:t>”</w:t>
      </w:r>
      <w:r w:rsidRPr="00090931">
        <w:rPr>
          <w:rStyle w:val="FootnoteReference"/>
          <w:szCs w:val="22"/>
        </w:rPr>
        <w:footnoteReference w:id="43"/>
      </w:r>
      <w:r w:rsidRPr="00873CBE">
        <w:rPr>
          <w:szCs w:val="22"/>
        </w:rPr>
        <w:t xml:space="preserve"> </w:t>
      </w:r>
      <w:r w:rsidRPr="00873CBE">
        <w:rPr>
          <w:i/>
          <w:szCs w:val="22"/>
        </w:rPr>
        <w:t xml:space="preserve"> </w:t>
      </w:r>
    </w:p>
    <w:p w14:paraId="6DD6C856" w14:textId="77777777" w:rsidR="00D47813" w:rsidRDefault="00D47813" w:rsidP="00D47813">
      <w:r>
        <w:t xml:space="preserve">The Secretary must approve placing </w:t>
      </w:r>
      <w:r w:rsidRPr="007E50EC">
        <w:t>a young person in isolation</w:t>
      </w:r>
      <w:r>
        <w:t xml:space="preserve">, </w:t>
      </w:r>
      <w:r w:rsidRPr="007E50EC">
        <w:t>and they must be closely supervised and observed at intervals of no longer than 15 minutes.</w:t>
      </w:r>
      <w:r w:rsidRPr="007E50EC">
        <w:rPr>
          <w:rStyle w:val="FootnoteReference"/>
        </w:rPr>
        <w:footnoteReference w:id="44"/>
      </w:r>
      <w:r>
        <w:rPr>
          <w:rStyle w:val="FootnoteReference"/>
        </w:rPr>
        <w:t xml:space="preserve"> </w:t>
      </w:r>
      <w:r>
        <w:t>N</w:t>
      </w:r>
      <w:r w:rsidRPr="007E50EC">
        <w:t>o maximum time period</w:t>
      </w:r>
      <w:r>
        <w:t xml:space="preserve"> is</w:t>
      </w:r>
      <w:r w:rsidRPr="007E50EC">
        <w:t xml:space="preserve"> </w:t>
      </w:r>
      <w:r w:rsidRPr="007E50EC">
        <w:lastRenderedPageBreak/>
        <w:t>prescribed</w:t>
      </w:r>
      <w:r>
        <w:t>.</w:t>
      </w:r>
      <w:r w:rsidRPr="007E50EC">
        <w:rPr>
          <w:rStyle w:val="FootnoteReference"/>
        </w:rPr>
        <w:footnoteReference w:id="45"/>
      </w:r>
      <w:r w:rsidRPr="007E50EC">
        <w:t xml:space="preserve"> VCOSS supports </w:t>
      </w:r>
      <w:proofErr w:type="spellStart"/>
      <w:r w:rsidRPr="007E50EC">
        <w:t>YACVic</w:t>
      </w:r>
      <w:r>
        <w:t>’s</w:t>
      </w:r>
      <w:proofErr w:type="spellEnd"/>
      <w:r w:rsidRPr="007E50EC">
        <w:t xml:space="preserve"> and Smart Justice for Young People’s call to amend the </w:t>
      </w:r>
      <w:r w:rsidRPr="00873CBE">
        <w:rPr>
          <w:i/>
        </w:rPr>
        <w:t>Children, Youth and Families Act 2005</w:t>
      </w:r>
      <w:r w:rsidRPr="007E50EC">
        <w:t xml:space="preserve"> to prohibit the use of solitary confinement of any duration for children and to introduce clear maximum time limits on the use of other forms of isolation against a young person under the age of 18.</w:t>
      </w:r>
      <w:r>
        <w:rPr>
          <w:rStyle w:val="FootnoteReference"/>
        </w:rPr>
        <w:footnoteReference w:id="46"/>
      </w:r>
      <w:r w:rsidRPr="007E50EC">
        <w:rPr>
          <w:vertAlign w:val="superscript"/>
        </w:rPr>
        <w:t>,</w:t>
      </w:r>
      <w:r>
        <w:rPr>
          <w:rStyle w:val="FootnoteReference"/>
        </w:rPr>
        <w:footnoteReference w:id="47"/>
      </w:r>
      <w:r>
        <w:t xml:space="preserve"> </w:t>
      </w:r>
      <w:r>
        <w:rPr>
          <w:vertAlign w:val="superscript"/>
        </w:rPr>
        <w:t xml:space="preserve"> </w:t>
      </w:r>
      <w:r w:rsidRPr="00672A12">
        <w:t>VCOSS</w:t>
      </w:r>
      <w:r>
        <w:t xml:space="preserve"> also recommends acting on the findings and recommendations of the C</w:t>
      </w:r>
      <w:r w:rsidRPr="00672A12">
        <w:t>ommission for Children and Young People</w:t>
      </w:r>
      <w:r>
        <w:t xml:space="preserve">’s </w:t>
      </w:r>
      <w:r w:rsidRPr="00672A12">
        <w:t>inquiry into the use of isolation, separation and lockdowns in youth justice centres</w:t>
      </w:r>
      <w:r>
        <w:t xml:space="preserve">, due to be released in March. </w:t>
      </w:r>
    </w:p>
    <w:p w14:paraId="68AE5DAF" w14:textId="77777777" w:rsidR="004E2C9E" w:rsidRPr="00672A12" w:rsidRDefault="004E2C9E" w:rsidP="00D47813"/>
    <w:p w14:paraId="63D0793C" w14:textId="77777777" w:rsidR="00D47813" w:rsidRDefault="00D47813" w:rsidP="00D47813">
      <w:pPr>
        <w:pStyle w:val="Heading2"/>
      </w:pPr>
      <w:bookmarkStart w:id="15" w:name="_Toc476310193"/>
      <w:r>
        <w:t>Provide a suitable physical environment</w:t>
      </w:r>
      <w:bookmarkEnd w:id="15"/>
      <w:r>
        <w:tab/>
      </w:r>
    </w:p>
    <w:p w14:paraId="4FC7E583" w14:textId="77777777" w:rsidR="00D47813" w:rsidRPr="008862B6" w:rsidRDefault="00D47813" w:rsidP="00D47813">
      <w:pPr>
        <w:pStyle w:val="Boxheading"/>
      </w:pPr>
      <w:r>
        <w:t>Recommendation</w:t>
      </w:r>
    </w:p>
    <w:p w14:paraId="42BCAFF3" w14:textId="77777777" w:rsidR="00D47813" w:rsidRDefault="00D47813" w:rsidP="00D47813">
      <w:pPr>
        <w:pStyle w:val="Boxlist"/>
        <w:ind w:left="851" w:hanging="425"/>
      </w:pPr>
      <w:r>
        <w:t>Design y</w:t>
      </w:r>
      <w:r w:rsidRPr="0034068B">
        <w:t xml:space="preserve">outh </w:t>
      </w:r>
      <w:r>
        <w:t>justice facilities to support a therapeutic approach which is age appropriate and able to cater for diverse needs.</w:t>
      </w:r>
    </w:p>
    <w:p w14:paraId="20DEACD6" w14:textId="77777777" w:rsidR="003E7585" w:rsidRDefault="003E7585" w:rsidP="00D47813"/>
    <w:p w14:paraId="5BB6E38E" w14:textId="77777777" w:rsidR="00D47813" w:rsidRDefault="00D47813" w:rsidP="00D47813">
      <w:r>
        <w:t>In 2010, the Ombudsman raised serious concerns about the design of Parkville, stating it is “</w:t>
      </w:r>
      <w:r w:rsidRPr="005D552F">
        <w:rPr>
          <w:i/>
        </w:rPr>
        <w:t>inappropriate for a custodial facilitate which houses vulnerable children</w:t>
      </w:r>
      <w:r>
        <w:t>” and noting several design features, such as</w:t>
      </w:r>
      <w:r w:rsidRPr="00911877">
        <w:t xml:space="preserve"> </w:t>
      </w:r>
      <w:r>
        <w:t>a low roof-line, exposed piping and ill-placed staircases, which pose safety risks to young people and staff.</w:t>
      </w:r>
      <w:r>
        <w:rPr>
          <w:rStyle w:val="FootnoteReference"/>
        </w:rPr>
        <w:footnoteReference w:id="48"/>
      </w:r>
      <w:r>
        <w:t xml:space="preserve"> While some improvements were made, the 2017 Ombudsman’s report notes “</w:t>
      </w:r>
      <w:r w:rsidRPr="008E2EA9">
        <w:rPr>
          <w:i/>
        </w:rPr>
        <w:t>successive governments have failed to make the significant investment needed to address the long-term issues</w:t>
      </w:r>
      <w:r>
        <w:t>”</w:t>
      </w:r>
      <w:r>
        <w:rPr>
          <w:rStyle w:val="FootnoteReference"/>
        </w:rPr>
        <w:footnoteReference w:id="49"/>
      </w:r>
    </w:p>
    <w:p w14:paraId="1244961B" w14:textId="77777777" w:rsidR="00D47813" w:rsidRDefault="00D47813" w:rsidP="00D47813">
      <w:r w:rsidRPr="00144866">
        <w:t>V</w:t>
      </w:r>
      <w:r>
        <w:t xml:space="preserve">COSS members expressed concern </w:t>
      </w:r>
      <w:r w:rsidRPr="00144866">
        <w:t xml:space="preserve">the </w:t>
      </w:r>
      <w:r>
        <w:t xml:space="preserve">design of the </w:t>
      </w:r>
      <w:r w:rsidRPr="00144866">
        <w:t xml:space="preserve">new </w:t>
      </w:r>
      <w:r>
        <w:t xml:space="preserve">224 bed </w:t>
      </w:r>
      <w:r w:rsidRPr="00144866">
        <w:t xml:space="preserve">youth detention </w:t>
      </w:r>
      <w:proofErr w:type="spellStart"/>
      <w:r>
        <w:t>centre</w:t>
      </w:r>
      <w:proofErr w:type="spellEnd"/>
      <w:r>
        <w:t xml:space="preserve">, expected to open </w:t>
      </w:r>
      <w:r w:rsidRPr="00144866">
        <w:t xml:space="preserve">in </w:t>
      </w:r>
      <w:proofErr w:type="spellStart"/>
      <w:r w:rsidRPr="00144866">
        <w:t>Werribee</w:t>
      </w:r>
      <w:proofErr w:type="spellEnd"/>
      <w:r w:rsidRPr="00144866">
        <w:t xml:space="preserve"> South</w:t>
      </w:r>
      <w:r>
        <w:t xml:space="preserve"> in 2020 may not</w:t>
      </w:r>
      <w:r w:rsidRPr="00144866">
        <w:t xml:space="preserve"> meet best practice.</w:t>
      </w:r>
      <w:r>
        <w:rPr>
          <w:rStyle w:val="FootnoteReference"/>
        </w:rPr>
        <w:footnoteReference w:id="50"/>
      </w:r>
      <w:r w:rsidRPr="00144866">
        <w:t xml:space="preserve"> </w:t>
      </w:r>
      <w:r>
        <w:t>D</w:t>
      </w:r>
      <w:r w:rsidRPr="00144866">
        <w:t>esign</w:t>
      </w:r>
      <w:r>
        <w:t>ing</w:t>
      </w:r>
      <w:r w:rsidRPr="00144866">
        <w:t xml:space="preserve"> youth justice fit for purpose facilities </w:t>
      </w:r>
      <w:r>
        <w:t>support</w:t>
      </w:r>
      <w:r w:rsidRPr="00144866">
        <w:t xml:space="preserve"> young people</w:t>
      </w:r>
      <w:r>
        <w:t>’s</w:t>
      </w:r>
      <w:r w:rsidRPr="00144866">
        <w:t xml:space="preserve"> and staff safe</w:t>
      </w:r>
      <w:r>
        <w:t xml:space="preserve">ty, </w:t>
      </w:r>
      <w:r w:rsidRPr="00144866">
        <w:t xml:space="preserve">and </w:t>
      </w:r>
      <w:r>
        <w:t>promotes rehabilitation</w:t>
      </w:r>
      <w:r w:rsidRPr="00144866">
        <w:t xml:space="preserve">. </w:t>
      </w:r>
      <w:r>
        <w:t>Ideally,</w:t>
      </w:r>
      <w:r w:rsidRPr="00144866">
        <w:t xml:space="preserve"> </w:t>
      </w:r>
      <w:r>
        <w:t>f</w:t>
      </w:r>
      <w:r w:rsidRPr="00144866">
        <w:t xml:space="preserve">acilities </w:t>
      </w:r>
      <w:r>
        <w:t xml:space="preserve">should be </w:t>
      </w:r>
      <w:r w:rsidRPr="00144866">
        <w:t>relatively small in size, with small units, so children and young people are given individual, therapeutic care</w:t>
      </w:r>
      <w:r>
        <w:t>.</w:t>
      </w:r>
      <w:r>
        <w:rPr>
          <w:rStyle w:val="FootnoteReference"/>
        </w:rPr>
        <w:footnoteReference w:id="51"/>
      </w:r>
      <w:r>
        <w:t xml:space="preserve"> Members also report facilities should provide</w:t>
      </w:r>
      <w:r w:rsidRPr="00144866">
        <w:t xml:space="preserve"> different kinds of accommodation units for children with diverse needs</w:t>
      </w:r>
      <w:r>
        <w:t>.</w:t>
      </w:r>
      <w:r>
        <w:rPr>
          <w:rStyle w:val="FootnoteReference"/>
        </w:rPr>
        <w:footnoteReference w:id="52"/>
      </w:r>
    </w:p>
    <w:p w14:paraId="6C3F4347" w14:textId="77777777" w:rsidR="00D47813" w:rsidRDefault="00D47813" w:rsidP="00D47813">
      <w:pPr>
        <w:pStyle w:val="Heading2"/>
      </w:pPr>
      <w:bookmarkStart w:id="16" w:name="_Toc476310194"/>
      <w:r>
        <w:lastRenderedPageBreak/>
        <w:t>Provide adequate post-care support to all young people</w:t>
      </w:r>
      <w:bookmarkEnd w:id="16"/>
    </w:p>
    <w:p w14:paraId="5204E0D8" w14:textId="77777777" w:rsidR="00D47813" w:rsidRPr="00935422" w:rsidRDefault="00D47813" w:rsidP="00D47813">
      <w:pPr>
        <w:pStyle w:val="Boxheading"/>
      </w:pPr>
      <w:r>
        <w:t>Recommendation</w:t>
      </w:r>
    </w:p>
    <w:p w14:paraId="2032A798" w14:textId="77777777" w:rsidR="00D47813" w:rsidRPr="00E70ECF" w:rsidRDefault="00D47813" w:rsidP="00D47813">
      <w:pPr>
        <w:pStyle w:val="Boxlist"/>
        <w:ind w:left="709" w:hanging="283"/>
      </w:pPr>
      <w:r w:rsidRPr="00E70ECF">
        <w:t>Provide adequate transitional planning and post-care support for all young people leaving youth justice centres.</w:t>
      </w:r>
    </w:p>
    <w:p w14:paraId="1999566D" w14:textId="77777777" w:rsidR="003E7585" w:rsidRDefault="003E7585" w:rsidP="00D47813"/>
    <w:p w14:paraId="525445FD" w14:textId="77777777" w:rsidR="00D47813" w:rsidRPr="00935422" w:rsidRDefault="00D47813" w:rsidP="00D47813">
      <w:r w:rsidRPr="00935422">
        <w:t xml:space="preserve">VCOSS members report too often young people are released from detention, without adequate support or links to education or employment. This can add to their social and community disconnectedness and isolation, and increase their chance of reoffending. </w:t>
      </w:r>
    </w:p>
    <w:p w14:paraId="060DD79A" w14:textId="77777777" w:rsidR="00D47813" w:rsidRPr="00935422" w:rsidRDefault="00D47813" w:rsidP="00D47813">
      <w:r w:rsidRPr="00935422">
        <w:t xml:space="preserve">Ideally post-care support should include a flexible range of services including mentoring, support to engage with education and employment, access stable accommodation, mental health and drug and alcohol services and family support. VCOSS members highlight the for post release support to commence while in detention to help prepare them to successfully reintegrate into the community. </w:t>
      </w:r>
    </w:p>
    <w:p w14:paraId="5A8A074D" w14:textId="5C14D682" w:rsidR="00D47813" w:rsidRDefault="00D47813">
      <w:r w:rsidRPr="00935422">
        <w:t>Supporting young people to successfully transition from custody to community can help prevent reoffending and set them lives on a positive trajectory.</w:t>
      </w:r>
    </w:p>
    <w:p w14:paraId="34D12996" w14:textId="77777777" w:rsidR="00D47813" w:rsidRDefault="00D47813">
      <w:pPr>
        <w:spacing w:before="200"/>
        <w:rPr>
          <w:b/>
          <w:color w:val="D84920"/>
          <w:sz w:val="50"/>
          <w:szCs w:val="50"/>
        </w:rPr>
      </w:pPr>
      <w:r>
        <w:br w:type="page"/>
      </w:r>
    </w:p>
    <w:p w14:paraId="5E972AAF" w14:textId="0AA8425D" w:rsidR="00151997" w:rsidRPr="006D3FB2" w:rsidRDefault="00151997" w:rsidP="004E2C9E">
      <w:pPr>
        <w:pStyle w:val="Heading1"/>
      </w:pPr>
      <w:bookmarkStart w:id="17" w:name="_Toc476310195"/>
      <w:r>
        <w:lastRenderedPageBreak/>
        <w:t>C</w:t>
      </w:r>
      <w:r w:rsidRPr="006D3FB2">
        <w:t xml:space="preserve">hildren and young people </w:t>
      </w:r>
      <w:r>
        <w:t>need a specialised youth justice system</w:t>
      </w:r>
      <w:bookmarkEnd w:id="17"/>
    </w:p>
    <w:p w14:paraId="48DE618D" w14:textId="3C2AA59C" w:rsidR="00530B6B" w:rsidRDefault="00530B6B" w:rsidP="00521467">
      <w:pPr>
        <w:pStyle w:val="Heading2"/>
      </w:pPr>
      <w:bookmarkStart w:id="18" w:name="_Toc476310196"/>
      <w:r>
        <w:t xml:space="preserve">Retain </w:t>
      </w:r>
      <w:r w:rsidR="00B66064">
        <w:t xml:space="preserve">a </w:t>
      </w:r>
      <w:r>
        <w:t xml:space="preserve">separate </w:t>
      </w:r>
      <w:r w:rsidR="004E6EB5">
        <w:t xml:space="preserve">justice </w:t>
      </w:r>
      <w:r>
        <w:t>system for children and young people</w:t>
      </w:r>
      <w:bookmarkEnd w:id="18"/>
    </w:p>
    <w:p w14:paraId="681AE04F" w14:textId="6298E456" w:rsidR="00707A8D" w:rsidRPr="00ED2AB3" w:rsidRDefault="00707A8D" w:rsidP="00ED2AB3">
      <w:pPr>
        <w:pStyle w:val="Boxheading"/>
        <w:rPr>
          <w:rStyle w:val="Heading3Char"/>
          <w:rFonts w:eastAsiaTheme="minorHAnsi" w:cs="Arial"/>
          <w:b/>
          <w:bCs w:val="0"/>
          <w:color w:val="auto"/>
        </w:rPr>
      </w:pPr>
      <w:r w:rsidRPr="009E736B">
        <w:rPr>
          <w:rStyle w:val="Heading3Char"/>
          <w:rFonts w:eastAsiaTheme="minorHAnsi" w:cs="Arial"/>
          <w:b/>
          <w:bCs w:val="0"/>
          <w:color w:val="auto"/>
        </w:rPr>
        <w:t>Recommendations</w:t>
      </w:r>
    </w:p>
    <w:p w14:paraId="15187689" w14:textId="16F9ECA0" w:rsidR="00441F10" w:rsidRDefault="004E6EB5" w:rsidP="009E736B">
      <w:pPr>
        <w:pStyle w:val="Boxlist"/>
        <w:ind w:left="851" w:hanging="425"/>
      </w:pPr>
      <w:r>
        <w:t>M</w:t>
      </w:r>
      <w:r w:rsidR="009E45D5">
        <w:t>anage Victoria’s youth justice system separately to the adult prison system</w:t>
      </w:r>
      <w:r w:rsidR="00441F10">
        <w:t xml:space="preserve">, with a </w:t>
      </w:r>
      <w:r w:rsidR="0077474E">
        <w:t>focused on rehabilitation and development</w:t>
      </w:r>
    </w:p>
    <w:p w14:paraId="12FD65D3" w14:textId="52A14D66" w:rsidR="00707A8D" w:rsidRPr="00F072AE" w:rsidRDefault="00441F10" w:rsidP="009E736B">
      <w:pPr>
        <w:pStyle w:val="Boxlist"/>
        <w:ind w:left="851" w:hanging="425"/>
      </w:pPr>
      <w:r>
        <w:t>R</w:t>
      </w:r>
      <w:r w:rsidR="0055481D" w:rsidRPr="00F072AE">
        <w:t xml:space="preserve">etain </w:t>
      </w:r>
      <w:r w:rsidR="00831151">
        <w:t xml:space="preserve">administrative responsibility for </w:t>
      </w:r>
      <w:r w:rsidR="0055481D" w:rsidRPr="00F072AE">
        <w:t>youth justice in</w:t>
      </w:r>
      <w:r w:rsidR="004408EA" w:rsidRPr="00F072AE">
        <w:t xml:space="preserve"> the Department of </w:t>
      </w:r>
      <w:r w:rsidR="00D45C17">
        <w:t>Health and Human S</w:t>
      </w:r>
      <w:r w:rsidR="0055481D" w:rsidRPr="00F072AE">
        <w:t>ervices</w:t>
      </w:r>
      <w:r w:rsidR="00F072AE" w:rsidRPr="00F072AE">
        <w:t>.</w:t>
      </w:r>
      <w:r w:rsidR="00707A8D" w:rsidRPr="00F072AE">
        <w:t xml:space="preserve"> </w:t>
      </w:r>
    </w:p>
    <w:p w14:paraId="17D1D993" w14:textId="16528EF5" w:rsidR="004E2C9E" w:rsidRPr="00707A8D" w:rsidRDefault="00707A8D" w:rsidP="004E2C9E">
      <w:pPr>
        <w:pStyle w:val="Boxlist"/>
        <w:ind w:left="851" w:hanging="425"/>
      </w:pPr>
      <w:r w:rsidRPr="00707A8D">
        <w:t>Retain the dual track system</w:t>
      </w:r>
      <w:r w:rsidR="00831151">
        <w:t xml:space="preserve">, allowing young offenders </w:t>
      </w:r>
      <w:r w:rsidR="00831151" w:rsidRPr="00B663BA">
        <w:t xml:space="preserve">aged </w:t>
      </w:r>
      <w:r w:rsidR="00831151" w:rsidRPr="004E2C9E">
        <w:t>18-20</w:t>
      </w:r>
      <w:r w:rsidR="00831151" w:rsidRPr="00B663BA">
        <w:t xml:space="preserve"> to serve</w:t>
      </w:r>
      <w:r w:rsidR="00831151">
        <w:t xml:space="preserve"> custodial sentence</w:t>
      </w:r>
      <w:r w:rsidR="009E736B">
        <w:t>s</w:t>
      </w:r>
      <w:r w:rsidR="00831151">
        <w:t xml:space="preserve"> in a youth justice facility where appropriate</w:t>
      </w:r>
    </w:p>
    <w:p w14:paraId="2A954E6B" w14:textId="77777777" w:rsidR="003E7585" w:rsidRDefault="003E7585" w:rsidP="00613EED">
      <w:pPr>
        <w:rPr>
          <w:szCs w:val="22"/>
        </w:rPr>
      </w:pPr>
    </w:p>
    <w:p w14:paraId="719FD918" w14:textId="7FE10B0B" w:rsidR="005728E3" w:rsidRDefault="009E45D5" w:rsidP="00613EED">
      <w:pPr>
        <w:rPr>
          <w:szCs w:val="22"/>
        </w:rPr>
      </w:pPr>
      <w:r w:rsidRPr="00696DDF">
        <w:rPr>
          <w:szCs w:val="22"/>
        </w:rPr>
        <w:t>VCOSS believe</w:t>
      </w:r>
      <w:r w:rsidR="004E6EB5">
        <w:rPr>
          <w:szCs w:val="22"/>
        </w:rPr>
        <w:t>s</w:t>
      </w:r>
      <w:r w:rsidRPr="00696DDF">
        <w:rPr>
          <w:szCs w:val="22"/>
        </w:rPr>
        <w:t xml:space="preserve"> </w:t>
      </w:r>
      <w:r w:rsidR="0077474E" w:rsidRPr="00696DDF">
        <w:rPr>
          <w:szCs w:val="22"/>
        </w:rPr>
        <w:t xml:space="preserve">Victoria should retain a separate justice system for </w:t>
      </w:r>
      <w:r w:rsidR="000F2E44" w:rsidRPr="00696DDF">
        <w:rPr>
          <w:szCs w:val="22"/>
        </w:rPr>
        <w:t>c</w:t>
      </w:r>
      <w:r w:rsidR="004408EA" w:rsidRPr="00696DDF">
        <w:rPr>
          <w:szCs w:val="22"/>
        </w:rPr>
        <w:t xml:space="preserve">hildren </w:t>
      </w:r>
      <w:r w:rsidR="00B30CCC" w:rsidRPr="00696DDF">
        <w:rPr>
          <w:szCs w:val="22"/>
        </w:rPr>
        <w:t xml:space="preserve">and young people </w:t>
      </w:r>
      <w:r w:rsidR="00AA4086" w:rsidRPr="00696DDF">
        <w:rPr>
          <w:szCs w:val="22"/>
        </w:rPr>
        <w:t>f</w:t>
      </w:r>
      <w:r w:rsidR="0055481D" w:rsidRPr="00696DDF">
        <w:rPr>
          <w:szCs w:val="22"/>
        </w:rPr>
        <w:t xml:space="preserve">ocused </w:t>
      </w:r>
      <w:r w:rsidR="00AA4086" w:rsidRPr="00696DDF">
        <w:rPr>
          <w:szCs w:val="22"/>
        </w:rPr>
        <w:t xml:space="preserve">on </w:t>
      </w:r>
      <w:r w:rsidR="003874C8" w:rsidRPr="00696DDF">
        <w:rPr>
          <w:szCs w:val="22"/>
        </w:rPr>
        <w:t xml:space="preserve">diversion, </w:t>
      </w:r>
      <w:r w:rsidR="00AA4086" w:rsidRPr="00696DDF">
        <w:rPr>
          <w:szCs w:val="22"/>
        </w:rPr>
        <w:t xml:space="preserve">rehabilitation and </w:t>
      </w:r>
      <w:r w:rsidR="003874C8" w:rsidRPr="00696DDF">
        <w:rPr>
          <w:szCs w:val="22"/>
        </w:rPr>
        <w:t>age appropriate responses</w:t>
      </w:r>
      <w:r w:rsidR="00AA4086" w:rsidRPr="00696DDF">
        <w:rPr>
          <w:szCs w:val="22"/>
        </w:rPr>
        <w:t>.</w:t>
      </w:r>
      <w:r w:rsidR="005728E3">
        <w:rPr>
          <w:szCs w:val="22"/>
        </w:rPr>
        <w:t xml:space="preserve"> </w:t>
      </w:r>
      <w:r w:rsidR="00636B46">
        <w:rPr>
          <w:szCs w:val="22"/>
        </w:rPr>
        <w:t xml:space="preserve">Retaining a separate system, </w:t>
      </w:r>
      <w:r w:rsidR="00636B46" w:rsidRPr="00696DDF">
        <w:rPr>
          <w:szCs w:val="22"/>
        </w:rPr>
        <w:t xml:space="preserve">recognises children and young people have </w:t>
      </w:r>
      <w:r w:rsidR="00275323">
        <w:rPr>
          <w:szCs w:val="22"/>
        </w:rPr>
        <w:t xml:space="preserve">a </w:t>
      </w:r>
      <w:r w:rsidR="00636B46" w:rsidRPr="00696DDF">
        <w:rPr>
          <w:szCs w:val="22"/>
        </w:rPr>
        <w:t>unique capacity to be rehabilitated</w:t>
      </w:r>
      <w:r w:rsidR="00636B46">
        <w:rPr>
          <w:szCs w:val="22"/>
        </w:rPr>
        <w:t xml:space="preserve">, are developmental immature and the vast majority of have experienced substantial disadvantage. </w:t>
      </w:r>
      <w:r w:rsidR="005728E3">
        <w:rPr>
          <w:szCs w:val="22"/>
        </w:rPr>
        <w:t xml:space="preserve">It is widely </w:t>
      </w:r>
      <w:r w:rsidR="00636B46">
        <w:rPr>
          <w:szCs w:val="22"/>
        </w:rPr>
        <w:t>acknowledged children</w:t>
      </w:r>
      <w:r w:rsidR="005728E3">
        <w:rPr>
          <w:szCs w:val="22"/>
        </w:rPr>
        <w:t xml:space="preserve"> and </w:t>
      </w:r>
      <w:r w:rsidR="005728E3">
        <w:t>young people should be treated differently to adults, requir</w:t>
      </w:r>
      <w:r w:rsidR="00275323">
        <w:t xml:space="preserve">ing a higher duty of care </w:t>
      </w:r>
      <w:r w:rsidR="00636B46">
        <w:t>more intensive interventions to</w:t>
      </w:r>
      <w:r w:rsidR="005728E3">
        <w:t xml:space="preserve"> meet their complex need</w:t>
      </w:r>
      <w:r w:rsidR="00636B46">
        <w:t>s</w:t>
      </w:r>
      <w:r w:rsidR="00275323">
        <w:t>.</w:t>
      </w:r>
      <w:r w:rsidR="00636B46">
        <w:rPr>
          <w:rStyle w:val="FootnoteReference"/>
        </w:rPr>
        <w:footnoteReference w:id="53"/>
      </w:r>
    </w:p>
    <w:p w14:paraId="7F58EDDF" w14:textId="747F89B1" w:rsidR="0055481D" w:rsidRPr="00696DDF" w:rsidRDefault="0055481D" w:rsidP="0055481D">
      <w:pPr>
        <w:rPr>
          <w:szCs w:val="22"/>
        </w:rPr>
      </w:pPr>
      <w:r w:rsidRPr="00696DDF">
        <w:rPr>
          <w:szCs w:val="22"/>
          <w:lang w:val="en-AU"/>
        </w:rPr>
        <w:t xml:space="preserve">During adolescence, young people’s brains undergo substantial change and development, </w:t>
      </w:r>
      <w:r w:rsidR="004E6EB5">
        <w:rPr>
          <w:szCs w:val="22"/>
          <w:lang w:val="en-AU"/>
        </w:rPr>
        <w:t>affecting</w:t>
      </w:r>
      <w:r w:rsidR="000F2E44" w:rsidRPr="00696DDF">
        <w:rPr>
          <w:szCs w:val="22"/>
          <w:lang w:val="en-AU"/>
        </w:rPr>
        <w:t xml:space="preserve"> their decision-making</w:t>
      </w:r>
      <w:r w:rsidRPr="00696DDF">
        <w:rPr>
          <w:szCs w:val="22"/>
          <w:lang w:val="en-AU"/>
        </w:rPr>
        <w:t xml:space="preserve"> ability, judgement and self-control.</w:t>
      </w:r>
      <w:r w:rsidRPr="00696DDF">
        <w:rPr>
          <w:rStyle w:val="FootnoteReference"/>
          <w:color w:val="222222"/>
          <w:szCs w:val="22"/>
          <w:shd w:val="clear" w:color="auto" w:fill="FFFFFF"/>
        </w:rPr>
        <w:footnoteReference w:id="54"/>
      </w:r>
      <w:r w:rsidR="00696DDF" w:rsidRPr="00696DDF">
        <w:rPr>
          <w:szCs w:val="22"/>
          <w:vertAlign w:val="superscript"/>
          <w:lang w:val="en-AU"/>
        </w:rPr>
        <w:t>,</w:t>
      </w:r>
      <w:r w:rsidR="000F2E44" w:rsidRPr="00696DDF">
        <w:rPr>
          <w:rStyle w:val="FootnoteReference"/>
          <w:szCs w:val="22"/>
        </w:rPr>
        <w:footnoteReference w:id="55"/>
      </w:r>
      <w:proofErr w:type="gramStart"/>
      <w:r w:rsidR="000F2E44" w:rsidRPr="00696DDF">
        <w:rPr>
          <w:szCs w:val="22"/>
          <w:vertAlign w:val="superscript"/>
        </w:rPr>
        <w:t>,</w:t>
      </w:r>
      <w:proofErr w:type="gramEnd"/>
      <w:r w:rsidR="000F2E44" w:rsidRPr="00696DDF">
        <w:rPr>
          <w:rStyle w:val="FootnoteReference"/>
          <w:szCs w:val="22"/>
        </w:rPr>
        <w:footnoteReference w:id="56"/>
      </w:r>
      <w:r w:rsidR="0077474E" w:rsidRPr="00696DDF">
        <w:rPr>
          <w:szCs w:val="22"/>
          <w:vertAlign w:val="superscript"/>
        </w:rPr>
        <w:t xml:space="preserve"> </w:t>
      </w:r>
      <w:r w:rsidR="0077474E" w:rsidRPr="00696DDF">
        <w:rPr>
          <w:szCs w:val="22"/>
        </w:rPr>
        <w:t>The</w:t>
      </w:r>
      <w:r w:rsidR="004E6EB5">
        <w:rPr>
          <w:szCs w:val="22"/>
        </w:rPr>
        <w:t>ir</w:t>
      </w:r>
      <w:r w:rsidR="0077474E" w:rsidRPr="00696DDF">
        <w:rPr>
          <w:szCs w:val="22"/>
        </w:rPr>
        <w:t xml:space="preserve"> brain</w:t>
      </w:r>
      <w:r w:rsidR="004E6EB5">
        <w:rPr>
          <w:szCs w:val="22"/>
        </w:rPr>
        <w:t>s continue</w:t>
      </w:r>
      <w:r w:rsidR="0077474E" w:rsidRPr="00696DDF">
        <w:rPr>
          <w:szCs w:val="22"/>
        </w:rPr>
        <w:t xml:space="preserve"> develop</w:t>
      </w:r>
      <w:r w:rsidR="004E6EB5">
        <w:rPr>
          <w:szCs w:val="22"/>
        </w:rPr>
        <w:t>ing</w:t>
      </w:r>
      <w:r w:rsidR="0077474E" w:rsidRPr="00696DDF">
        <w:rPr>
          <w:szCs w:val="22"/>
        </w:rPr>
        <w:t xml:space="preserve"> until at least the</w:t>
      </w:r>
      <w:r w:rsidR="004E6EB5">
        <w:rPr>
          <w:szCs w:val="22"/>
        </w:rPr>
        <w:t>ir</w:t>
      </w:r>
      <w:r w:rsidR="0077474E" w:rsidRPr="00696DDF">
        <w:rPr>
          <w:szCs w:val="22"/>
        </w:rPr>
        <w:t xml:space="preserve"> early</w:t>
      </w:r>
      <w:r w:rsidR="004E6EB5">
        <w:rPr>
          <w:szCs w:val="22"/>
        </w:rPr>
        <w:t>-</w:t>
      </w:r>
      <w:r w:rsidR="0077474E" w:rsidRPr="00696DDF">
        <w:rPr>
          <w:szCs w:val="22"/>
        </w:rPr>
        <w:t xml:space="preserve"> to mid-</w:t>
      </w:r>
      <w:r w:rsidR="004E6EB5">
        <w:rPr>
          <w:szCs w:val="22"/>
        </w:rPr>
        <w:t>twenties</w:t>
      </w:r>
      <w:r w:rsidR="0077474E" w:rsidRPr="00696DDF">
        <w:rPr>
          <w:szCs w:val="22"/>
        </w:rPr>
        <w:t>.</w:t>
      </w:r>
      <w:r w:rsidR="0077474E" w:rsidRPr="00696DDF">
        <w:rPr>
          <w:rStyle w:val="FootnoteReference"/>
          <w:szCs w:val="22"/>
        </w:rPr>
        <w:footnoteReference w:id="57"/>
      </w:r>
      <w:r w:rsidR="0077474E" w:rsidRPr="00696DDF">
        <w:rPr>
          <w:szCs w:val="22"/>
          <w:vertAlign w:val="superscript"/>
        </w:rPr>
        <w:t>,</w:t>
      </w:r>
      <w:r w:rsidR="008F1628" w:rsidRPr="00696DDF">
        <w:rPr>
          <w:rStyle w:val="FootnoteReference"/>
          <w:szCs w:val="22"/>
        </w:rPr>
        <w:footnoteReference w:id="58"/>
      </w:r>
      <w:r w:rsidR="008F1628" w:rsidRPr="00696DDF">
        <w:rPr>
          <w:szCs w:val="22"/>
          <w:vertAlign w:val="superscript"/>
        </w:rPr>
        <w:t xml:space="preserve"> </w:t>
      </w:r>
      <w:r w:rsidRPr="00696DDF">
        <w:rPr>
          <w:szCs w:val="22"/>
        </w:rPr>
        <w:t xml:space="preserve">During this </w:t>
      </w:r>
      <w:r w:rsidR="00831151">
        <w:rPr>
          <w:szCs w:val="22"/>
        </w:rPr>
        <w:t>developmental stage</w:t>
      </w:r>
      <w:r w:rsidRPr="00696DDF">
        <w:rPr>
          <w:szCs w:val="22"/>
        </w:rPr>
        <w:t xml:space="preserve">, young people </w:t>
      </w:r>
      <w:r w:rsidRPr="00696DDF">
        <w:rPr>
          <w:szCs w:val="22"/>
          <w:lang w:val="en-AU"/>
        </w:rPr>
        <w:t>are also more susceptible to peer influence</w:t>
      </w:r>
      <w:r w:rsidR="00831151">
        <w:rPr>
          <w:szCs w:val="22"/>
          <w:lang w:val="en-AU"/>
        </w:rPr>
        <w:t>s</w:t>
      </w:r>
      <w:r w:rsidRPr="00696DDF">
        <w:rPr>
          <w:rStyle w:val="FootnoteReference"/>
          <w:color w:val="222222"/>
          <w:szCs w:val="22"/>
          <w:shd w:val="clear" w:color="auto" w:fill="FFFFFF"/>
        </w:rPr>
        <w:footnoteReference w:id="59"/>
      </w:r>
      <w:r w:rsidR="00C87B60">
        <w:rPr>
          <w:szCs w:val="22"/>
          <w:lang w:val="en-AU"/>
        </w:rPr>
        <w:t xml:space="preserve"> and are more likely to engage</w:t>
      </w:r>
      <w:r w:rsidR="00C87B60" w:rsidRPr="00696DDF">
        <w:rPr>
          <w:szCs w:val="22"/>
          <w:lang w:val="en-AU"/>
        </w:rPr>
        <w:t xml:space="preserve"> in risky or </w:t>
      </w:r>
      <w:r w:rsidR="00C87B60" w:rsidRPr="00696DDF">
        <w:rPr>
          <w:szCs w:val="22"/>
          <w:lang w:val="en-AU"/>
        </w:rPr>
        <w:lastRenderedPageBreak/>
        <w:t xml:space="preserve">reckless </w:t>
      </w:r>
      <w:r w:rsidR="00C87B60">
        <w:rPr>
          <w:szCs w:val="22"/>
          <w:lang w:val="en-AU"/>
        </w:rPr>
        <w:t>behaviours</w:t>
      </w:r>
      <w:r w:rsidR="00C87B60" w:rsidRPr="00696DDF">
        <w:rPr>
          <w:szCs w:val="22"/>
          <w:lang w:val="en-AU"/>
        </w:rPr>
        <w:t>.</w:t>
      </w:r>
      <w:r w:rsidR="00C87B60" w:rsidRPr="00696DDF">
        <w:rPr>
          <w:rStyle w:val="FootnoteReference"/>
          <w:szCs w:val="22"/>
        </w:rPr>
        <w:footnoteReference w:id="60"/>
      </w:r>
      <w:r w:rsidRPr="00696DDF">
        <w:rPr>
          <w:szCs w:val="22"/>
          <w:lang w:val="en-AU"/>
        </w:rPr>
        <w:t xml:space="preserve"> Together</w:t>
      </w:r>
      <w:r w:rsidR="00831151">
        <w:rPr>
          <w:szCs w:val="22"/>
          <w:lang w:val="en-AU"/>
        </w:rPr>
        <w:t>,</w:t>
      </w:r>
      <w:r w:rsidRPr="00696DDF">
        <w:rPr>
          <w:szCs w:val="22"/>
          <w:lang w:val="en-AU"/>
        </w:rPr>
        <w:t xml:space="preserve"> these factors increase the </w:t>
      </w:r>
      <w:r w:rsidR="00831151">
        <w:rPr>
          <w:szCs w:val="22"/>
          <w:lang w:val="en-AU"/>
        </w:rPr>
        <w:t>probability</w:t>
      </w:r>
      <w:r w:rsidRPr="00696DDF">
        <w:rPr>
          <w:szCs w:val="22"/>
          <w:lang w:val="en-AU"/>
        </w:rPr>
        <w:t xml:space="preserve"> young people </w:t>
      </w:r>
      <w:r w:rsidR="00831151">
        <w:rPr>
          <w:szCs w:val="22"/>
          <w:lang w:val="en-AU"/>
        </w:rPr>
        <w:t>can engage</w:t>
      </w:r>
      <w:r w:rsidRPr="00696DDF">
        <w:rPr>
          <w:szCs w:val="22"/>
          <w:lang w:val="en-AU"/>
        </w:rPr>
        <w:t xml:space="preserve"> in offending.</w:t>
      </w:r>
      <w:r w:rsidRPr="00696DDF">
        <w:rPr>
          <w:szCs w:val="22"/>
        </w:rPr>
        <w:t xml:space="preserve"> </w:t>
      </w:r>
    </w:p>
    <w:p w14:paraId="4AF2AF32" w14:textId="2FC711CA" w:rsidR="0055481D" w:rsidRPr="00696DDF" w:rsidRDefault="00707A8D" w:rsidP="0055481D">
      <w:pPr>
        <w:rPr>
          <w:szCs w:val="22"/>
          <w:vertAlign w:val="superscript"/>
        </w:rPr>
      </w:pPr>
      <w:r w:rsidRPr="00696DDF">
        <w:rPr>
          <w:szCs w:val="22"/>
        </w:rPr>
        <w:t>M</w:t>
      </w:r>
      <w:r w:rsidR="0055481D" w:rsidRPr="00696DDF">
        <w:rPr>
          <w:szCs w:val="22"/>
        </w:rPr>
        <w:t>ost youth offending is episodic and transitory</w:t>
      </w:r>
      <w:r w:rsidR="00831151">
        <w:rPr>
          <w:szCs w:val="22"/>
        </w:rPr>
        <w:t>,</w:t>
      </w:r>
      <w:r w:rsidR="0055481D" w:rsidRPr="00696DDF">
        <w:rPr>
          <w:szCs w:val="22"/>
        </w:rPr>
        <w:t xml:space="preserve"> </w:t>
      </w:r>
      <w:r w:rsidR="00831151">
        <w:rPr>
          <w:szCs w:val="22"/>
        </w:rPr>
        <w:t xml:space="preserve">and most </w:t>
      </w:r>
      <w:r w:rsidR="0055481D" w:rsidRPr="00696DDF">
        <w:rPr>
          <w:szCs w:val="22"/>
        </w:rPr>
        <w:t>young people ‘</w:t>
      </w:r>
      <w:r w:rsidR="00831151">
        <w:rPr>
          <w:szCs w:val="22"/>
        </w:rPr>
        <w:t>grow</w:t>
      </w:r>
      <w:r w:rsidR="0055481D" w:rsidRPr="00696DDF">
        <w:rPr>
          <w:szCs w:val="22"/>
        </w:rPr>
        <w:t xml:space="preserve"> out’ of offending behaviour as they </w:t>
      </w:r>
      <w:proofErr w:type="gramStart"/>
      <w:r w:rsidR="0055481D" w:rsidRPr="00696DDF">
        <w:rPr>
          <w:szCs w:val="22"/>
        </w:rPr>
        <w:t>mature.</w:t>
      </w:r>
      <w:r w:rsidR="0055481D" w:rsidRPr="00696DDF">
        <w:rPr>
          <w:szCs w:val="22"/>
          <w:vertAlign w:val="superscript"/>
        </w:rPr>
        <w:footnoteReference w:id="61"/>
      </w:r>
      <w:r w:rsidR="0055481D" w:rsidRPr="00696DDF">
        <w:rPr>
          <w:szCs w:val="22"/>
          <w:vertAlign w:val="superscript"/>
        </w:rPr>
        <w:t>,</w:t>
      </w:r>
      <w:proofErr w:type="gramEnd"/>
      <w:r w:rsidR="0055481D" w:rsidRPr="00696DDF">
        <w:rPr>
          <w:szCs w:val="22"/>
          <w:vertAlign w:val="superscript"/>
        </w:rPr>
        <w:footnoteReference w:id="62"/>
      </w:r>
      <w:r w:rsidR="0055481D" w:rsidRPr="00696DDF">
        <w:rPr>
          <w:szCs w:val="22"/>
          <w:vertAlign w:val="superscript"/>
        </w:rPr>
        <w:t xml:space="preserve">  </w:t>
      </w:r>
      <w:r w:rsidR="0055481D" w:rsidRPr="00696DDF">
        <w:rPr>
          <w:szCs w:val="22"/>
        </w:rPr>
        <w:t>Rates of offending generally peak in late adolescence and decline in early adulthood.</w:t>
      </w:r>
      <w:r w:rsidR="0055481D" w:rsidRPr="00696DDF">
        <w:rPr>
          <w:szCs w:val="22"/>
          <w:vertAlign w:val="superscript"/>
        </w:rPr>
        <w:footnoteReference w:id="63"/>
      </w:r>
      <w:r w:rsidR="0055481D" w:rsidRPr="00696DDF">
        <w:rPr>
          <w:szCs w:val="22"/>
        </w:rPr>
        <w:t xml:space="preserve"> </w:t>
      </w:r>
    </w:p>
    <w:p w14:paraId="4DF216D4" w14:textId="228F16E6" w:rsidR="007F2C06" w:rsidRDefault="00707A8D" w:rsidP="00707A8D">
      <w:pPr>
        <w:rPr>
          <w:szCs w:val="22"/>
        </w:rPr>
      </w:pPr>
      <w:r w:rsidRPr="00696DDF">
        <w:rPr>
          <w:szCs w:val="22"/>
        </w:rPr>
        <w:t xml:space="preserve">The </w:t>
      </w:r>
      <w:r w:rsidR="00831151">
        <w:rPr>
          <w:szCs w:val="22"/>
        </w:rPr>
        <w:t xml:space="preserve">Victorian Government’s </w:t>
      </w:r>
      <w:r w:rsidRPr="00696DDF">
        <w:rPr>
          <w:szCs w:val="22"/>
        </w:rPr>
        <w:t xml:space="preserve">recent decision to </w:t>
      </w:r>
      <w:r w:rsidR="00831151">
        <w:rPr>
          <w:szCs w:val="22"/>
        </w:rPr>
        <w:t>change</w:t>
      </w:r>
      <w:r w:rsidRPr="00696DDF">
        <w:rPr>
          <w:szCs w:val="22"/>
        </w:rPr>
        <w:t xml:space="preserve"> responsibility for youth justice from </w:t>
      </w:r>
      <w:r w:rsidR="00D45C17">
        <w:rPr>
          <w:szCs w:val="22"/>
        </w:rPr>
        <w:t xml:space="preserve">DHHS </w:t>
      </w:r>
      <w:r w:rsidRPr="00696DDF">
        <w:rPr>
          <w:szCs w:val="22"/>
        </w:rPr>
        <w:t xml:space="preserve">to the Department of Justice </w:t>
      </w:r>
      <w:r w:rsidR="00831151">
        <w:rPr>
          <w:szCs w:val="22"/>
        </w:rPr>
        <w:t>and Regulation</w:t>
      </w:r>
      <w:r w:rsidR="00206D14">
        <w:rPr>
          <w:szCs w:val="22"/>
        </w:rPr>
        <w:t xml:space="preserve">, </w:t>
      </w:r>
      <w:r w:rsidR="00206D14">
        <w:rPr>
          <w:rFonts w:ascii="Helvetica Neue" w:hAnsi="Helvetica Neue"/>
          <w:color w:val="373737"/>
          <w:sz w:val="23"/>
          <w:szCs w:val="23"/>
          <w:shd w:val="clear" w:color="auto" w:fill="FFFFFF"/>
        </w:rPr>
        <w:t>which manages adult prisons,</w:t>
      </w:r>
      <w:r w:rsidRPr="00696DDF">
        <w:rPr>
          <w:szCs w:val="22"/>
        </w:rPr>
        <w:t xml:space="preserve"> is a retrograde step that will not improve community safety, and risks causing harm to young people</w:t>
      </w:r>
      <w:r w:rsidR="00206D14">
        <w:rPr>
          <w:szCs w:val="22"/>
        </w:rPr>
        <w:t>. D</w:t>
      </w:r>
      <w:r w:rsidR="00206D14">
        <w:t xml:space="preserve">HHS </w:t>
      </w:r>
      <w:r w:rsidR="005728E3">
        <w:t xml:space="preserve">is </w:t>
      </w:r>
      <w:r w:rsidR="00206D14">
        <w:t xml:space="preserve">better equipped to meet </w:t>
      </w:r>
      <w:r w:rsidR="005728E3">
        <w:t xml:space="preserve">the </w:t>
      </w:r>
      <w:r w:rsidR="00206D14">
        <w:t xml:space="preserve">developmental and welfare needs of young </w:t>
      </w:r>
      <w:r w:rsidR="005728E3">
        <w:t>people involved in youth justice</w:t>
      </w:r>
      <w:r w:rsidR="00206D14">
        <w:t xml:space="preserve">, </w:t>
      </w:r>
      <w:r w:rsidR="005728E3">
        <w:t xml:space="preserve">and prevent them from </w:t>
      </w:r>
      <w:r w:rsidR="005728E3" w:rsidRPr="001213E5">
        <w:t xml:space="preserve">becoming </w:t>
      </w:r>
      <w:r w:rsidR="00275323">
        <w:t>entrenched in the criminal justice system</w:t>
      </w:r>
      <w:r w:rsidR="00275323">
        <w:rPr>
          <w:szCs w:val="22"/>
        </w:rPr>
        <w:t>.</w:t>
      </w:r>
      <w:r w:rsidR="00275323" w:rsidRPr="00696DDF">
        <w:rPr>
          <w:szCs w:val="22"/>
        </w:rPr>
        <w:t xml:space="preserve"> The</w:t>
      </w:r>
      <w:r w:rsidRPr="00696DDF">
        <w:rPr>
          <w:szCs w:val="22"/>
        </w:rPr>
        <w:t xml:space="preserve"> Victorian</w:t>
      </w:r>
      <w:r w:rsidR="00B9577F" w:rsidRPr="00696DDF">
        <w:rPr>
          <w:szCs w:val="22"/>
        </w:rPr>
        <w:t xml:space="preserve"> Ombudsman’s report into rehabilitation identified </w:t>
      </w:r>
      <w:r w:rsidRPr="00696DDF">
        <w:rPr>
          <w:szCs w:val="22"/>
        </w:rPr>
        <w:t xml:space="preserve">the </w:t>
      </w:r>
      <w:r w:rsidR="00831151">
        <w:rPr>
          <w:szCs w:val="22"/>
        </w:rPr>
        <w:t>corrections</w:t>
      </w:r>
      <w:r w:rsidRPr="00696DDF">
        <w:rPr>
          <w:szCs w:val="22"/>
        </w:rPr>
        <w:t xml:space="preserve"> system as</w:t>
      </w:r>
      <w:r w:rsidR="00B9577F" w:rsidRPr="00696DDF">
        <w:rPr>
          <w:szCs w:val="22"/>
        </w:rPr>
        <w:t xml:space="preserve"> </w:t>
      </w:r>
      <w:r w:rsidRPr="00696DDF">
        <w:rPr>
          <w:szCs w:val="22"/>
        </w:rPr>
        <w:t>“ill-equipped</w:t>
      </w:r>
      <w:r w:rsidR="00B9577F" w:rsidRPr="00696DDF">
        <w:rPr>
          <w:szCs w:val="22"/>
        </w:rPr>
        <w:t xml:space="preserve"> to de</w:t>
      </w:r>
      <w:r w:rsidRPr="00696DDF">
        <w:rPr>
          <w:szCs w:val="22"/>
        </w:rPr>
        <w:t>al with young adult prisoners”.</w:t>
      </w:r>
      <w:r w:rsidRPr="00696DDF">
        <w:rPr>
          <w:rStyle w:val="FootnoteReference"/>
          <w:szCs w:val="22"/>
        </w:rPr>
        <w:footnoteReference w:id="64"/>
      </w:r>
    </w:p>
    <w:p w14:paraId="1EFAB7D8" w14:textId="2946D8B6" w:rsidR="009E45D5" w:rsidRDefault="009E45D5" w:rsidP="008B691F">
      <w:pPr>
        <w:rPr>
          <w:szCs w:val="22"/>
        </w:rPr>
      </w:pPr>
      <w:r w:rsidRPr="00696DDF">
        <w:rPr>
          <w:szCs w:val="22"/>
        </w:rPr>
        <w:t>Victoria’s ‘dual track’ system</w:t>
      </w:r>
      <w:r w:rsidR="008B691F" w:rsidRPr="00696DDF">
        <w:rPr>
          <w:szCs w:val="22"/>
        </w:rPr>
        <w:t xml:space="preserve"> </w:t>
      </w:r>
      <w:r w:rsidR="00817DC4">
        <w:rPr>
          <w:szCs w:val="22"/>
        </w:rPr>
        <w:t>provides adult courts with the discretion to sentence</w:t>
      </w:r>
      <w:r w:rsidRPr="00696DDF">
        <w:rPr>
          <w:szCs w:val="22"/>
        </w:rPr>
        <w:t xml:space="preserve"> young people aged 18–20 years to serve </w:t>
      </w:r>
      <w:r w:rsidR="00817DC4">
        <w:rPr>
          <w:szCs w:val="22"/>
        </w:rPr>
        <w:t>their</w:t>
      </w:r>
      <w:r w:rsidRPr="00696DDF">
        <w:rPr>
          <w:szCs w:val="22"/>
        </w:rPr>
        <w:t xml:space="preserve"> custodial sentence in a youth justice facility instead of an adult prison </w:t>
      </w:r>
      <w:r w:rsidR="00817DC4">
        <w:rPr>
          <w:szCs w:val="22"/>
        </w:rPr>
        <w:t>where courts</w:t>
      </w:r>
      <w:r w:rsidR="00530B05">
        <w:rPr>
          <w:szCs w:val="22"/>
        </w:rPr>
        <w:t xml:space="preserve"> </w:t>
      </w:r>
      <w:r w:rsidR="00530B05" w:rsidRPr="00530B05">
        <w:rPr>
          <w:szCs w:val="22"/>
        </w:rPr>
        <w:t>believes the young person has reasonable prospects for rehabilitation, is particularly impressionable, immatur</w:t>
      </w:r>
      <w:r w:rsidR="00A62AAE">
        <w:rPr>
          <w:szCs w:val="22"/>
        </w:rPr>
        <w:t>e or likely to be subjected to negative</w:t>
      </w:r>
      <w:r w:rsidR="00530B05" w:rsidRPr="00530B05">
        <w:rPr>
          <w:szCs w:val="22"/>
        </w:rPr>
        <w:t xml:space="preserve"> influences in an adult prison</w:t>
      </w:r>
      <w:r w:rsidR="00014AEF">
        <w:rPr>
          <w:rStyle w:val="FootnoteReference"/>
          <w:szCs w:val="22"/>
        </w:rPr>
        <w:footnoteReference w:id="65"/>
      </w:r>
      <w:r w:rsidR="00831151" w:rsidRPr="00696DDF">
        <w:rPr>
          <w:szCs w:val="22"/>
        </w:rPr>
        <w:t xml:space="preserve">. </w:t>
      </w:r>
      <w:r w:rsidR="008B691F" w:rsidRPr="00696DDF">
        <w:rPr>
          <w:szCs w:val="22"/>
        </w:rPr>
        <w:t xml:space="preserve">Retaining </w:t>
      </w:r>
      <w:r w:rsidRPr="00696DDF">
        <w:rPr>
          <w:szCs w:val="22"/>
        </w:rPr>
        <w:t xml:space="preserve">Victoria’s ‘dual track’ system </w:t>
      </w:r>
      <w:r w:rsidR="008B691F" w:rsidRPr="00696DDF">
        <w:rPr>
          <w:szCs w:val="22"/>
        </w:rPr>
        <w:t xml:space="preserve">can help prevent vulnerable young people from </w:t>
      </w:r>
      <w:r w:rsidR="00206D14">
        <w:rPr>
          <w:szCs w:val="22"/>
        </w:rPr>
        <w:t>being exposed to the negative effects of</w:t>
      </w:r>
      <w:r w:rsidR="00206D14" w:rsidRPr="00696DDF">
        <w:rPr>
          <w:szCs w:val="22"/>
        </w:rPr>
        <w:t xml:space="preserve"> </w:t>
      </w:r>
      <w:r w:rsidR="008B691F" w:rsidRPr="00696DDF">
        <w:rPr>
          <w:szCs w:val="22"/>
        </w:rPr>
        <w:t>the adult prison system at an early age</w:t>
      </w:r>
      <w:r w:rsidR="00817DC4">
        <w:rPr>
          <w:szCs w:val="22"/>
        </w:rPr>
        <w:t xml:space="preserve">, and </w:t>
      </w:r>
      <w:r w:rsidR="00206D14">
        <w:rPr>
          <w:szCs w:val="22"/>
        </w:rPr>
        <w:t>allow</w:t>
      </w:r>
      <w:r w:rsidR="00275323">
        <w:rPr>
          <w:szCs w:val="22"/>
        </w:rPr>
        <w:t>s</w:t>
      </w:r>
      <w:r w:rsidR="00206D14">
        <w:rPr>
          <w:szCs w:val="22"/>
        </w:rPr>
        <w:t xml:space="preserve"> them to </w:t>
      </w:r>
      <w:r w:rsidR="00817DC4">
        <w:rPr>
          <w:szCs w:val="22"/>
        </w:rPr>
        <w:t xml:space="preserve">benefit from </w:t>
      </w:r>
      <w:r w:rsidR="00275323">
        <w:rPr>
          <w:szCs w:val="22"/>
        </w:rPr>
        <w:t>r</w:t>
      </w:r>
      <w:r w:rsidR="00817DC4">
        <w:t xml:space="preserve">ehabilitative programs and services available in </w:t>
      </w:r>
      <w:r w:rsidR="00206D14">
        <w:t xml:space="preserve">the </w:t>
      </w:r>
      <w:r w:rsidR="00817DC4">
        <w:t>youth justice</w:t>
      </w:r>
      <w:r w:rsidR="00206D14">
        <w:t xml:space="preserve"> system</w:t>
      </w:r>
      <w:r w:rsidR="008B691F" w:rsidRPr="00696DDF">
        <w:rPr>
          <w:szCs w:val="22"/>
        </w:rPr>
        <w:t xml:space="preserve">. The Victorian </w:t>
      </w:r>
      <w:proofErr w:type="spellStart"/>
      <w:r w:rsidR="008B691F" w:rsidRPr="00696DDF">
        <w:rPr>
          <w:szCs w:val="22"/>
        </w:rPr>
        <w:t>Ombusman</w:t>
      </w:r>
      <w:proofErr w:type="spellEnd"/>
      <w:r w:rsidR="008B691F" w:rsidRPr="00696DDF">
        <w:rPr>
          <w:szCs w:val="22"/>
        </w:rPr>
        <w:t xml:space="preserve"> confirmed support to retain Victoria’s dual track system</w:t>
      </w:r>
      <w:r w:rsidR="00275323">
        <w:rPr>
          <w:szCs w:val="22"/>
        </w:rPr>
        <w:t xml:space="preserve"> stating “</w:t>
      </w:r>
      <w:r w:rsidR="00275323" w:rsidRPr="001213E5">
        <w:rPr>
          <w:i/>
        </w:rPr>
        <w:t>Victoria’s dual track system must go on recognising that children – even dangerous children – are different from adults</w:t>
      </w:r>
      <w:r w:rsidR="00275323">
        <w:t>.”</w:t>
      </w:r>
      <w:r w:rsidR="008B691F" w:rsidRPr="00696DDF">
        <w:rPr>
          <w:rStyle w:val="FootnoteReference"/>
          <w:szCs w:val="22"/>
        </w:rPr>
        <w:t xml:space="preserve"> </w:t>
      </w:r>
      <w:r w:rsidR="008B691F" w:rsidRPr="00696DDF">
        <w:rPr>
          <w:rStyle w:val="FootnoteReference"/>
          <w:szCs w:val="22"/>
        </w:rPr>
        <w:footnoteReference w:id="66"/>
      </w:r>
    </w:p>
    <w:p w14:paraId="6BC8961B" w14:textId="77777777" w:rsidR="004E2C9E" w:rsidRDefault="004E2C9E">
      <w:pPr>
        <w:spacing w:before="200"/>
        <w:rPr>
          <w:rFonts w:eastAsiaTheme="majorEastAsia" w:cstheme="majorBidi"/>
          <w:b/>
          <w:bCs/>
          <w:color w:val="E36C0A" w:themeColor="accent6" w:themeShade="BF"/>
          <w:sz w:val="32"/>
          <w:szCs w:val="26"/>
        </w:rPr>
      </w:pPr>
      <w:bookmarkStart w:id="19" w:name="_Toc476310197"/>
      <w:r>
        <w:br w:type="page"/>
      </w:r>
    </w:p>
    <w:p w14:paraId="64B1EC62" w14:textId="2FD3CF68" w:rsidR="00DF0152" w:rsidRDefault="00DF0152" w:rsidP="00DF0152">
      <w:pPr>
        <w:pStyle w:val="Heading2"/>
      </w:pPr>
      <w:r>
        <w:lastRenderedPageBreak/>
        <w:t>Raise the age of criminal responsibility</w:t>
      </w:r>
      <w:bookmarkEnd w:id="19"/>
      <w:r>
        <w:t xml:space="preserve"> </w:t>
      </w:r>
    </w:p>
    <w:p w14:paraId="18C658B3" w14:textId="42E31381" w:rsidR="00DF0152" w:rsidRDefault="00696DDF" w:rsidP="004E2C9E">
      <w:pPr>
        <w:pStyle w:val="Boxheading"/>
      </w:pPr>
      <w:r>
        <w:t>Recommendation</w:t>
      </w:r>
    </w:p>
    <w:p w14:paraId="0C45907D" w14:textId="3359D1C9" w:rsidR="00DF0152" w:rsidRPr="00DF0152" w:rsidRDefault="00696DDF" w:rsidP="009E736B">
      <w:pPr>
        <w:pStyle w:val="Boxlist"/>
        <w:ind w:left="709" w:hanging="283"/>
      </w:pPr>
      <w:r>
        <w:t>R</w:t>
      </w:r>
      <w:r w:rsidR="00DF0152" w:rsidRPr="00DF0152">
        <w:t>aise the minimum age a child can be charged with a criminal offence to 12 and identify age-appropriate justice system responses for children aged 10–12 years</w:t>
      </w:r>
    </w:p>
    <w:p w14:paraId="3CEE28E7" w14:textId="77777777" w:rsidR="003E7585" w:rsidRDefault="003E7585" w:rsidP="00DF0152"/>
    <w:p w14:paraId="63C4CD7F" w14:textId="23C4460A" w:rsidR="00DF0152" w:rsidRPr="00A37C9A" w:rsidRDefault="00DF0152" w:rsidP="00DF0152">
      <w:pPr>
        <w:rPr>
          <w:rFonts w:cs="Verdana"/>
          <w:b/>
          <w:i/>
          <w:iCs/>
          <w:color w:val="FF0000"/>
          <w:sz w:val="24"/>
          <w:szCs w:val="24"/>
        </w:rPr>
      </w:pPr>
      <w:r>
        <w:t xml:space="preserve">In Victoria, the minimum age of criminal responsibility is 10 years of age. This is </w:t>
      </w:r>
      <w:r w:rsidRPr="00D67D54">
        <w:t xml:space="preserve">out of step with international law, and evidence about children’s brain development </w:t>
      </w:r>
      <w:r>
        <w:t>which demonstrates</w:t>
      </w:r>
      <w:r w:rsidRPr="00D67D54">
        <w:t xml:space="preserve"> that children under 12 years lack the necessary </w:t>
      </w:r>
      <w:r w:rsidR="00831151">
        <w:t xml:space="preserve">mental </w:t>
      </w:r>
      <w:r w:rsidRPr="00D67D54">
        <w:t>capacit</w:t>
      </w:r>
      <w:r w:rsidR="00831151">
        <w:t>y</w:t>
      </w:r>
      <w:r w:rsidRPr="00D67D54">
        <w:t xml:space="preserve"> for full criminal responsibility</w:t>
      </w:r>
      <w:r>
        <w:t>.</w:t>
      </w:r>
      <w:r w:rsidRPr="00D67D54">
        <w:t xml:space="preserve"> </w:t>
      </w:r>
    </w:p>
    <w:p w14:paraId="100C62EC" w14:textId="77777777" w:rsidR="00DF0152" w:rsidRDefault="00DF0152" w:rsidP="008F1628">
      <w:pPr>
        <w:ind w:left="720"/>
      </w:pPr>
      <w:r>
        <w:t xml:space="preserve"> </w:t>
      </w:r>
      <w:r w:rsidRPr="00A37C9A">
        <w:rPr>
          <w:i/>
          <w:iCs/>
        </w:rPr>
        <w:t>“</w:t>
      </w:r>
      <w:r>
        <w:rPr>
          <w:i/>
          <w:iCs/>
        </w:rPr>
        <w:t>A</w:t>
      </w:r>
      <w:r w:rsidRPr="00A37C9A">
        <w:rPr>
          <w:i/>
          <w:iCs/>
        </w:rPr>
        <w:t>t the age of ten the brain is developmentally immature, and continues to undergo important changes linked to regulating one’s own behaviour”</w:t>
      </w:r>
      <w:r w:rsidRPr="00A37C9A">
        <w:rPr>
          <w:rStyle w:val="FootnoteReference"/>
        </w:rPr>
        <w:t xml:space="preserve"> </w:t>
      </w:r>
      <w:r>
        <w:rPr>
          <w:rStyle w:val="FootnoteReference"/>
        </w:rPr>
        <w:footnoteReference w:id="67"/>
      </w:r>
      <w:r>
        <w:t xml:space="preserve"> </w:t>
      </w:r>
    </w:p>
    <w:p w14:paraId="463BACC9" w14:textId="16F458E4" w:rsidR="00DF0152" w:rsidRDefault="00DF0152" w:rsidP="00DF0152">
      <w:pPr>
        <w:rPr>
          <w:rFonts w:cs="Verdana"/>
        </w:rPr>
      </w:pPr>
      <w:r w:rsidRPr="00AA0A11">
        <w:t xml:space="preserve">The United Nations Committee on the Rights of the Child states that a minimum age of criminal responsibility below the age of 12 years is </w:t>
      </w:r>
      <w:r>
        <w:t>un</w:t>
      </w:r>
      <w:r w:rsidRPr="00AA0A11">
        <w:t>acceptable.</w:t>
      </w:r>
      <w:r w:rsidR="008F1628" w:rsidRPr="00615F28">
        <w:rPr>
          <w:vertAlign w:val="superscript"/>
        </w:rPr>
        <w:footnoteReference w:id="68"/>
      </w:r>
      <w:r w:rsidR="008F1628">
        <w:t xml:space="preserve"> </w:t>
      </w:r>
      <w:r w:rsidRPr="00AA0A11">
        <w:t xml:space="preserve"> </w:t>
      </w:r>
      <w:r>
        <w:t xml:space="preserve">The Committee </w:t>
      </w:r>
      <w:r w:rsidRPr="00AA0A11">
        <w:t>encourages</w:t>
      </w:r>
      <w:r>
        <w:t xml:space="preserve"> countries</w:t>
      </w:r>
      <w:r w:rsidRPr="00AA0A11">
        <w:t xml:space="preserve"> to increase their minimum age of criminal responsibility to </w:t>
      </w:r>
      <w:r>
        <w:t>age</w:t>
      </w:r>
      <w:r w:rsidRPr="00AA0A11">
        <w:t xml:space="preserve"> 12 as </w:t>
      </w:r>
      <w:r w:rsidRPr="00696DDF">
        <w:t>an absolute minimum and</w:t>
      </w:r>
      <w:r w:rsidRPr="00AA0A11">
        <w:t xml:space="preserve"> </w:t>
      </w:r>
      <w:r>
        <w:t xml:space="preserve">encourages countries </w:t>
      </w:r>
      <w:r w:rsidRPr="00AA0A11">
        <w:t>to i</w:t>
      </w:r>
      <w:r>
        <w:t xml:space="preserve">ncrease it to </w:t>
      </w:r>
      <w:r w:rsidR="005E2EF9">
        <w:t>14 or 16 years of age</w:t>
      </w:r>
      <w:r w:rsidR="008F1628">
        <w:t>.</w:t>
      </w:r>
      <w:r w:rsidR="008F1628" w:rsidRPr="00615F28">
        <w:rPr>
          <w:vertAlign w:val="superscript"/>
        </w:rPr>
        <w:footnoteReference w:id="69"/>
      </w:r>
      <w:r w:rsidR="008F1628">
        <w:t xml:space="preserve"> </w:t>
      </w:r>
      <w:r>
        <w:t>A</w:t>
      </w:r>
      <w:r w:rsidRPr="00A15076">
        <w:t>n international study of 90 countries</w:t>
      </w:r>
      <w:r>
        <w:t xml:space="preserve"> identifies that</w:t>
      </w:r>
      <w:r w:rsidRPr="00A15076">
        <w:t xml:space="preserve"> 68 per cent had a minimum criminal age of 12 or higher, with the most common age</w:t>
      </w:r>
      <w:r w:rsidRPr="00E9398D">
        <w:rPr>
          <w:rFonts w:cs="Verdana"/>
        </w:rPr>
        <w:t xml:space="preserve"> being 14 years.</w:t>
      </w:r>
      <w:r>
        <w:rPr>
          <w:rStyle w:val="FootnoteReference"/>
          <w:rFonts w:cs="Verdana"/>
        </w:rPr>
        <w:footnoteReference w:id="70"/>
      </w:r>
    </w:p>
    <w:p w14:paraId="7A606592" w14:textId="1F485DB8" w:rsidR="00DF0152" w:rsidRDefault="00DF0152" w:rsidP="00DF0152">
      <w:r w:rsidRPr="005E2EF9">
        <w:t xml:space="preserve">Involvement in the criminal justice system at a young age </w:t>
      </w:r>
      <w:r w:rsidR="00B663BA">
        <w:t>p</w:t>
      </w:r>
      <w:r w:rsidRPr="005E2EF9">
        <w:t>laces young people at risk of becoming chronic, long-term offenders.</w:t>
      </w:r>
      <w:r w:rsidRPr="005E2EF9">
        <w:rPr>
          <w:rStyle w:val="FootnoteReference"/>
        </w:rPr>
        <w:footnoteReference w:id="71"/>
      </w:r>
      <w:r w:rsidRPr="005E2EF9">
        <w:t xml:space="preserve"> The</w:t>
      </w:r>
      <w:r w:rsidRPr="00997C39">
        <w:t xml:space="preserve"> younger a person is on first encountering the justice system, the more likely they are to reoffend.</w:t>
      </w:r>
      <w:r w:rsidR="005E2EF9">
        <w:t xml:space="preserve"> For instance, l</w:t>
      </w:r>
      <w:r>
        <w:t xml:space="preserve">ongitudinal data from the Sentencing Advisory Council indicates the </w:t>
      </w:r>
      <w:r w:rsidR="00831151">
        <w:t>re-</w:t>
      </w:r>
      <w:r>
        <w:t>offending rate of children first sentenced between the ages of 10-12 is 85 per cent, compared with 51 per cent for 17 year olds and 33 per cent for 19 – 20 year olds.</w:t>
      </w:r>
      <w:r>
        <w:rPr>
          <w:rStyle w:val="FootnoteReference"/>
        </w:rPr>
        <w:footnoteReference w:id="72"/>
      </w:r>
      <w:r>
        <w:t xml:space="preserve"> Similarly, the earlier children are first sentenced the more likely they are to be sentenced in an adult court before the age of 22.</w:t>
      </w:r>
      <w:r>
        <w:rPr>
          <w:rStyle w:val="FootnoteReference"/>
        </w:rPr>
        <w:footnoteReference w:id="73"/>
      </w:r>
      <w:r>
        <w:t xml:space="preserve"> </w:t>
      </w:r>
    </w:p>
    <w:p w14:paraId="3DDE5810" w14:textId="09283BCF" w:rsidR="00DF0152" w:rsidRPr="0011219E" w:rsidRDefault="00DF0152" w:rsidP="00DF0152">
      <w:pPr>
        <w:rPr>
          <w:color w:val="000000"/>
          <w:shd w:val="clear" w:color="auto" w:fill="FFFFFF"/>
        </w:rPr>
      </w:pPr>
      <w:r>
        <w:t xml:space="preserve">The state government can better support these children by raising the minimum age a child can be charged with a criminal offence from 10 to 12 years of age, and identifying more age-appropriate interventions </w:t>
      </w:r>
      <w:r w:rsidR="00247ACA">
        <w:t>that prevent</w:t>
      </w:r>
      <w:r>
        <w:t xml:space="preserve"> harm and </w:t>
      </w:r>
      <w:r w:rsidR="00247ACA">
        <w:t>foster</w:t>
      </w:r>
      <w:r>
        <w:t xml:space="preserve"> behavioural development. </w:t>
      </w:r>
    </w:p>
    <w:p w14:paraId="066C2EB8" w14:textId="77777777" w:rsidR="004E2C9E" w:rsidRDefault="004E2C9E">
      <w:pPr>
        <w:spacing w:before="200"/>
        <w:rPr>
          <w:rFonts w:eastAsiaTheme="majorEastAsia" w:cstheme="majorBidi"/>
          <w:b/>
          <w:bCs/>
          <w:color w:val="E36C0A" w:themeColor="accent6" w:themeShade="BF"/>
          <w:sz w:val="32"/>
          <w:szCs w:val="26"/>
        </w:rPr>
      </w:pPr>
      <w:bookmarkStart w:id="20" w:name="_Toc476310198"/>
      <w:r>
        <w:br w:type="page"/>
      </w:r>
    </w:p>
    <w:p w14:paraId="248B0017" w14:textId="161D8B0D" w:rsidR="00521467" w:rsidRDefault="00521467" w:rsidP="00521467">
      <w:pPr>
        <w:pStyle w:val="Heading2"/>
      </w:pPr>
      <w:r>
        <w:lastRenderedPageBreak/>
        <w:t>Given children and young people a voice</w:t>
      </w:r>
      <w:bookmarkEnd w:id="20"/>
    </w:p>
    <w:p w14:paraId="6886DB5F" w14:textId="4C25CB26" w:rsidR="00DF0152" w:rsidRPr="005E2EF9" w:rsidRDefault="005E2EF9" w:rsidP="005E2EF9">
      <w:pPr>
        <w:pStyle w:val="Boxlist"/>
        <w:numPr>
          <w:ilvl w:val="0"/>
          <w:numId w:val="0"/>
        </w:numPr>
        <w:ind w:left="784" w:hanging="360"/>
        <w:rPr>
          <w:b/>
        </w:rPr>
      </w:pPr>
      <w:r w:rsidRPr="005E2EF9">
        <w:rPr>
          <w:b/>
        </w:rPr>
        <w:t>Recommendations</w:t>
      </w:r>
    </w:p>
    <w:p w14:paraId="4655A4F7" w14:textId="07647143" w:rsidR="006934E1" w:rsidRDefault="0082119F" w:rsidP="009E736B">
      <w:pPr>
        <w:pStyle w:val="Boxlist"/>
        <w:ind w:left="851" w:hanging="425"/>
      </w:pPr>
      <w:r>
        <w:t xml:space="preserve">Ensure appropriate mechanisms </w:t>
      </w:r>
      <w:r w:rsidR="00247ACA">
        <w:t xml:space="preserve">are </w:t>
      </w:r>
      <w:r>
        <w:t>in place for children and young people</w:t>
      </w:r>
      <w:r w:rsidR="00DF0152">
        <w:t xml:space="preserve"> involved in youth justice</w:t>
      </w:r>
      <w:r>
        <w:t xml:space="preserve"> to </w:t>
      </w:r>
      <w:r w:rsidR="00DF0152">
        <w:t>be heard</w:t>
      </w:r>
    </w:p>
    <w:p w14:paraId="64753F92" w14:textId="0072C3DA" w:rsidR="00DF0152" w:rsidRPr="0079551A" w:rsidRDefault="00FB5F7B" w:rsidP="009E736B">
      <w:pPr>
        <w:pStyle w:val="Boxlist"/>
        <w:ind w:left="851" w:hanging="425"/>
      </w:pPr>
      <w:r>
        <w:t>Meaningful</w:t>
      </w:r>
      <w:r w:rsidR="00247ACA">
        <w:t>ly</w:t>
      </w:r>
      <w:r>
        <w:t xml:space="preserve"> consult</w:t>
      </w:r>
      <w:r w:rsidR="00DF0152">
        <w:t xml:space="preserve"> with children and young people with experience of the youth justice syst</w:t>
      </w:r>
      <w:r w:rsidR="005E2EF9">
        <w:t>em</w:t>
      </w:r>
      <w:r w:rsidR="00604C9D">
        <w:t xml:space="preserve"> to better inform system design</w:t>
      </w:r>
    </w:p>
    <w:p w14:paraId="17A3EB14" w14:textId="77777777" w:rsidR="003E7585" w:rsidRDefault="003E7585" w:rsidP="005E2EF9"/>
    <w:p w14:paraId="657E5AC0" w14:textId="467FC67A" w:rsidR="00604C9D" w:rsidRDefault="00636137" w:rsidP="005E2EF9">
      <w:r>
        <w:t xml:space="preserve">Children and young people have the </w:t>
      </w:r>
      <w:r w:rsidR="00247ACA">
        <w:t>right</w:t>
      </w:r>
      <w:r>
        <w:t xml:space="preserve"> to be heard </w:t>
      </w:r>
      <w:r w:rsidR="00247ACA">
        <w:t>in decisions about their lives. T</w:t>
      </w:r>
      <w:r>
        <w:t>he</w:t>
      </w:r>
      <w:r w:rsidR="00FB5F7B">
        <w:t xml:space="preserve"> </w:t>
      </w:r>
      <w:r w:rsidR="00247ACA">
        <w:t xml:space="preserve">UN </w:t>
      </w:r>
      <w:r w:rsidR="00FB5F7B">
        <w:t>C</w:t>
      </w:r>
      <w:r w:rsidR="00FB5F7B" w:rsidRPr="007F57DC">
        <w:t xml:space="preserve">ommittee on the </w:t>
      </w:r>
      <w:r w:rsidR="00FB5F7B">
        <w:t>R</w:t>
      </w:r>
      <w:r w:rsidR="00FB5F7B" w:rsidRPr="007F57DC">
        <w:t xml:space="preserve">ights of the </w:t>
      </w:r>
      <w:r w:rsidR="00FB5F7B">
        <w:t>C</w:t>
      </w:r>
      <w:r w:rsidR="00FB5F7B" w:rsidRPr="007F57DC">
        <w:t xml:space="preserve">hild </w:t>
      </w:r>
      <w:r w:rsidR="00247ACA">
        <w:t>advis</w:t>
      </w:r>
      <w:r>
        <w:t>e this right “</w:t>
      </w:r>
      <w:r w:rsidR="00FB5F7B" w:rsidRPr="00ED2AB3">
        <w:t>should be fully respected and implemented throughout every stage of the process of juvenile justice”</w:t>
      </w:r>
      <w:r w:rsidR="008F1628">
        <w:t xml:space="preserve"> </w:t>
      </w:r>
      <w:r w:rsidR="00604C9D">
        <w:t>and that “every child (deprived of their liberty) should have the right to make requests or complaints… and need to know about and have easy access to these mechanisms.”</w:t>
      </w:r>
      <w:r w:rsidR="00604C9D" w:rsidRPr="001213E5">
        <w:t xml:space="preserve"> </w:t>
      </w:r>
      <w:r w:rsidR="00604C9D" w:rsidRPr="00AB06BA">
        <w:rPr>
          <w:vertAlign w:val="superscript"/>
        </w:rPr>
        <w:footnoteReference w:id="74"/>
      </w:r>
      <w:r w:rsidR="00AB06BA" w:rsidRPr="00AB06BA">
        <w:rPr>
          <w:vertAlign w:val="superscript"/>
        </w:rPr>
        <w:t xml:space="preserve"> </w:t>
      </w:r>
      <w:r w:rsidR="00AB06BA" w:rsidRPr="001213E5">
        <w:t xml:space="preserve">This view is </w:t>
      </w:r>
      <w:r w:rsidR="00AB06BA" w:rsidRPr="00AB06BA">
        <w:t>echoed</w:t>
      </w:r>
      <w:r w:rsidR="00AB06BA" w:rsidRPr="001213E5">
        <w:t xml:space="preserve"> by </w:t>
      </w:r>
      <w:r w:rsidR="00AB06BA">
        <w:t xml:space="preserve">the Australian Human Rights </w:t>
      </w:r>
      <w:r w:rsidR="00AB06BA" w:rsidRPr="00C60678">
        <w:t>Commissioner</w:t>
      </w:r>
      <w:r w:rsidR="00AB06BA">
        <w:t>, stating</w:t>
      </w:r>
      <w:r w:rsidR="00AB06BA" w:rsidRPr="00C60678">
        <w:t xml:space="preserve"> </w:t>
      </w:r>
      <w:r w:rsidR="00AB06BA">
        <w:t>that providing children and young people voice their opinions on how their needs can be met “is especially important for children in vulnerable situations, like those involved in the youth justice system”.</w:t>
      </w:r>
      <w:r w:rsidR="00AB06BA" w:rsidRPr="00C60678">
        <w:rPr>
          <w:rStyle w:val="FootnoteReference"/>
        </w:rPr>
        <w:footnoteReference w:id="75"/>
      </w:r>
      <w:r w:rsidR="00AB06BA">
        <w:t xml:space="preserve">  </w:t>
      </w:r>
    </w:p>
    <w:p w14:paraId="606EDC3A" w14:textId="36401E02" w:rsidR="00604C9D" w:rsidRDefault="00776F08" w:rsidP="005E2EF9">
      <w:r>
        <w:t>Adequately resourcing t</w:t>
      </w:r>
      <w:r w:rsidR="00604C9D">
        <w:t xml:space="preserve">he independent visitors program </w:t>
      </w:r>
      <w:r>
        <w:t xml:space="preserve">will enable </w:t>
      </w:r>
      <w:r w:rsidR="00B663BA">
        <w:t xml:space="preserve">the Commission for Children and Young People </w:t>
      </w:r>
      <w:r>
        <w:t>to continue to</w:t>
      </w:r>
      <w:r w:rsidR="00363044">
        <w:t xml:space="preserve"> </w:t>
      </w:r>
      <w:r>
        <w:t>provide an independent</w:t>
      </w:r>
      <w:r w:rsidR="00363044">
        <w:t xml:space="preserve"> </w:t>
      </w:r>
      <w:r w:rsidR="00604C9D">
        <w:t xml:space="preserve">mechanism through which </w:t>
      </w:r>
      <w:r>
        <w:t xml:space="preserve">young people can </w:t>
      </w:r>
      <w:r w:rsidR="00363044">
        <w:t xml:space="preserve">express any concerns </w:t>
      </w:r>
      <w:r>
        <w:t>affecting their</w:t>
      </w:r>
      <w:r w:rsidR="00363044">
        <w:t xml:space="preserve"> day-t</w:t>
      </w:r>
      <w:r>
        <w:t>o-day lives in</w:t>
      </w:r>
      <w:r w:rsidR="00363044">
        <w:t xml:space="preserve"> youth justice centres.</w:t>
      </w:r>
      <w:r w:rsidR="00363044">
        <w:rPr>
          <w:rStyle w:val="FootnoteReference"/>
        </w:rPr>
        <w:footnoteReference w:id="76"/>
      </w:r>
      <w:r>
        <w:t xml:space="preserve"> Having mechanisms in place to enable young people to raise concerns directly with youth justice facilitate staff can </w:t>
      </w:r>
      <w:r w:rsidR="00AB06BA">
        <w:t xml:space="preserve">also </w:t>
      </w:r>
      <w:r>
        <w:t xml:space="preserve">help </w:t>
      </w:r>
      <w:r w:rsidR="00AB06BA">
        <w:t xml:space="preserve">to </w:t>
      </w:r>
      <w:r>
        <w:t xml:space="preserve">better meet their needs and provide a </w:t>
      </w:r>
      <w:r w:rsidR="00AB06BA">
        <w:t xml:space="preserve">safer </w:t>
      </w:r>
      <w:r>
        <w:t>environment.</w:t>
      </w:r>
      <w:r w:rsidR="00AB06BA">
        <w:rPr>
          <w:rStyle w:val="FootnoteReference"/>
        </w:rPr>
        <w:footnoteReference w:id="77"/>
      </w:r>
      <w:r w:rsidR="00AB06BA">
        <w:t xml:space="preserve"> </w:t>
      </w:r>
      <w:r>
        <w:t xml:space="preserve"> </w:t>
      </w:r>
    </w:p>
    <w:p w14:paraId="1BF9E295" w14:textId="29997CFF" w:rsidR="003874C8" w:rsidRDefault="005E2EF9" w:rsidP="00D94184">
      <w:pPr>
        <w:rPr>
          <w:b/>
          <w:color w:val="D84920"/>
          <w:sz w:val="50"/>
          <w:szCs w:val="50"/>
        </w:rPr>
      </w:pPr>
      <w:r w:rsidRPr="00C60678">
        <w:t xml:space="preserve">VCOSS members report the voice and experience of young people is missing from the debate around youth justice. </w:t>
      </w:r>
      <w:r w:rsidR="0060107D" w:rsidRPr="00C60678">
        <w:t>A</w:t>
      </w:r>
      <w:r w:rsidR="00011FE4" w:rsidRPr="00C60678">
        <w:t>ctively gain</w:t>
      </w:r>
      <w:r w:rsidR="00247ACA">
        <w:t>ing</w:t>
      </w:r>
      <w:r w:rsidR="00011FE4" w:rsidRPr="00C60678">
        <w:t xml:space="preserve"> the views of young people </w:t>
      </w:r>
      <w:r w:rsidR="00FB5F7B" w:rsidRPr="00C60678">
        <w:t>who have</w:t>
      </w:r>
      <w:r w:rsidR="00FB5F7B">
        <w:t xml:space="preserve"> experien</w:t>
      </w:r>
      <w:r>
        <w:t>ced the youth justice system</w:t>
      </w:r>
      <w:r w:rsidR="00FB5F7B">
        <w:t xml:space="preserve"> </w:t>
      </w:r>
      <w:r w:rsidR="0060107D">
        <w:t>could</w:t>
      </w:r>
      <w:r w:rsidR="00FB5F7B">
        <w:t xml:space="preserve"> </w:t>
      </w:r>
      <w:r w:rsidR="0060107D">
        <w:t xml:space="preserve">better </w:t>
      </w:r>
      <w:r w:rsidR="00FB5F7B">
        <w:t xml:space="preserve">help </w:t>
      </w:r>
      <w:r w:rsidR="0060107D">
        <w:t xml:space="preserve">inform the </w:t>
      </w:r>
      <w:r w:rsidR="00247ACA">
        <w:t xml:space="preserve">system’s </w:t>
      </w:r>
      <w:r w:rsidR="0060107D">
        <w:t xml:space="preserve">design, </w:t>
      </w:r>
      <w:r w:rsidR="00247ACA">
        <w:t>including</w:t>
      </w:r>
      <w:r w:rsidR="0060107D">
        <w:t xml:space="preserve"> </w:t>
      </w:r>
      <w:r w:rsidR="00247ACA">
        <w:t>of</w:t>
      </w:r>
      <w:r w:rsidR="0060107D">
        <w:t xml:space="preserve"> early</w:t>
      </w:r>
      <w:r>
        <w:t xml:space="preserve"> intervention and diversion ini</w:t>
      </w:r>
      <w:r w:rsidR="0060107D">
        <w:t>ti</w:t>
      </w:r>
      <w:r>
        <w:t>ati</w:t>
      </w:r>
      <w:r w:rsidR="0060107D">
        <w:t xml:space="preserve">ves, the operation of youth justice centres, and post care support. </w:t>
      </w:r>
      <w:proofErr w:type="spellStart"/>
      <w:r w:rsidR="0060107D">
        <w:t>YACVic’s</w:t>
      </w:r>
      <w:proofErr w:type="spellEnd"/>
      <w:r w:rsidR="0060107D">
        <w:t xml:space="preserve"> submission to this inquiry explores this in more detail.</w:t>
      </w:r>
      <w:r w:rsidR="0060107D">
        <w:rPr>
          <w:rStyle w:val="FootnoteReference"/>
        </w:rPr>
        <w:footnoteReference w:id="78"/>
      </w:r>
      <w:r w:rsidR="0060107D">
        <w:t xml:space="preserve"> </w:t>
      </w:r>
      <w:r w:rsidR="003874C8">
        <w:br w:type="page"/>
      </w:r>
    </w:p>
    <w:p w14:paraId="789520E7" w14:textId="534830C7" w:rsidR="00B536E0" w:rsidRDefault="00B536E0" w:rsidP="00B536E0">
      <w:pPr>
        <w:pStyle w:val="Heading1"/>
      </w:pPr>
      <w:bookmarkStart w:id="21" w:name="_Toc476310199"/>
      <w:r>
        <w:lastRenderedPageBreak/>
        <w:t xml:space="preserve">Provide comprehensive </w:t>
      </w:r>
      <w:r w:rsidR="00127C49" w:rsidRPr="008E5D16">
        <w:t>prevention</w:t>
      </w:r>
      <w:r w:rsidR="00127C49">
        <w:t>,</w:t>
      </w:r>
      <w:r w:rsidR="00127C49" w:rsidRPr="008E5D16">
        <w:t xml:space="preserve"> early intervention</w:t>
      </w:r>
      <w:r w:rsidR="00127C49">
        <w:t xml:space="preserve"> and diversion programs</w:t>
      </w:r>
      <w:bookmarkEnd w:id="21"/>
    </w:p>
    <w:p w14:paraId="64E408F6" w14:textId="51293424" w:rsidR="0032792A" w:rsidRDefault="001D51E7" w:rsidP="0032792A">
      <w:pPr>
        <w:pStyle w:val="Heading2"/>
      </w:pPr>
      <w:bookmarkStart w:id="22" w:name="_Toc476310200"/>
      <w:r>
        <w:t>Invest in</w:t>
      </w:r>
      <w:r w:rsidR="0032792A">
        <w:t xml:space="preserve"> a</w:t>
      </w:r>
      <w:r w:rsidR="0057612D">
        <w:t>n integrated</w:t>
      </w:r>
      <w:r w:rsidR="0032792A">
        <w:t xml:space="preserve"> </w:t>
      </w:r>
      <w:r>
        <w:t xml:space="preserve">support </w:t>
      </w:r>
      <w:r w:rsidR="0032792A">
        <w:t>continuum</w:t>
      </w:r>
      <w:bookmarkEnd w:id="22"/>
      <w:r w:rsidR="0032792A">
        <w:t xml:space="preserve"> </w:t>
      </w:r>
    </w:p>
    <w:p w14:paraId="5904BC42" w14:textId="6D49EC53" w:rsidR="00E72008" w:rsidRPr="00E72008" w:rsidRDefault="00E72008" w:rsidP="00ED2AB3">
      <w:pPr>
        <w:pStyle w:val="Boxheading"/>
      </w:pPr>
      <w:r w:rsidRPr="00E72008">
        <w:t>Recommendation</w:t>
      </w:r>
    </w:p>
    <w:p w14:paraId="321427A6" w14:textId="52AE64F8" w:rsidR="0032792A" w:rsidRPr="00127C49" w:rsidRDefault="00247ACA" w:rsidP="009E736B">
      <w:pPr>
        <w:pStyle w:val="Boxlist"/>
        <w:ind w:left="709" w:hanging="283"/>
      </w:pPr>
      <w:r>
        <w:t xml:space="preserve">Invest in </w:t>
      </w:r>
      <w:r w:rsidR="00356301" w:rsidRPr="00127C49">
        <w:t>expand</w:t>
      </w:r>
      <w:r>
        <w:t>ing</w:t>
      </w:r>
      <w:r w:rsidR="0032792A" w:rsidRPr="00127C49">
        <w:t xml:space="preserve"> </w:t>
      </w:r>
      <w:r w:rsidR="00361DEF" w:rsidRPr="00127C49">
        <w:t xml:space="preserve">crime prevention, </w:t>
      </w:r>
      <w:r w:rsidR="0032792A" w:rsidRPr="00127C49">
        <w:t>early intervention and diversion programs</w:t>
      </w:r>
      <w:r w:rsidR="00356301" w:rsidRPr="00127C49">
        <w:t xml:space="preserve"> </w:t>
      </w:r>
      <w:r>
        <w:t>for</w:t>
      </w:r>
      <w:r w:rsidR="00356301" w:rsidRPr="00127C49">
        <w:t xml:space="preserve"> </w:t>
      </w:r>
      <w:proofErr w:type="spellStart"/>
      <w:r w:rsidR="00356301" w:rsidRPr="00127C49">
        <w:t>a</w:t>
      </w:r>
      <w:proofErr w:type="spellEnd"/>
      <w:r w:rsidR="0032792A" w:rsidRPr="00127C49">
        <w:t xml:space="preserve"> </w:t>
      </w:r>
      <w:r w:rsidR="00273AE3">
        <w:t>integrated</w:t>
      </w:r>
      <w:r>
        <w:t xml:space="preserve"> support </w:t>
      </w:r>
      <w:r w:rsidR="00356301" w:rsidRPr="00127C49">
        <w:t xml:space="preserve">continuum </w:t>
      </w:r>
      <w:r w:rsidR="0032792A" w:rsidRPr="00127C49">
        <w:t>address</w:t>
      </w:r>
      <w:r>
        <w:t>ing</w:t>
      </w:r>
      <w:r w:rsidR="0032792A" w:rsidRPr="00127C49">
        <w:t xml:space="preserve"> the causes and risk factors </w:t>
      </w:r>
      <w:r>
        <w:t>underlying</w:t>
      </w:r>
      <w:r w:rsidR="004E2C9E">
        <w:t xml:space="preserve"> youth offending</w:t>
      </w:r>
    </w:p>
    <w:p w14:paraId="067E2AD9" w14:textId="77777777" w:rsidR="003E7585" w:rsidRDefault="003E7585" w:rsidP="00361DEF"/>
    <w:p w14:paraId="3B3853AA" w14:textId="43FA4FEE" w:rsidR="00361DEF" w:rsidRPr="00B536E0" w:rsidRDefault="00361DEF" w:rsidP="00361DEF">
      <w:r>
        <w:t xml:space="preserve">The government can improve community safety and support the </w:t>
      </w:r>
      <w:r w:rsidR="001D51E7">
        <w:t xml:space="preserve">young people’s </w:t>
      </w:r>
      <w:r>
        <w:t>wellbeing by providing</w:t>
      </w:r>
      <w:r w:rsidRPr="00B536E0">
        <w:t xml:space="preserve"> </w:t>
      </w:r>
      <w:r w:rsidR="001D51E7">
        <w:t>an integrated</w:t>
      </w:r>
      <w:r w:rsidRPr="00B536E0">
        <w:t xml:space="preserve"> support </w:t>
      </w:r>
      <w:r w:rsidR="001D51E7">
        <w:t>continuum. This can provide comprehensive</w:t>
      </w:r>
      <w:r w:rsidRPr="00B536E0">
        <w:t xml:space="preserve"> prevention and early intervention </w:t>
      </w:r>
      <w:r w:rsidR="001D51E7">
        <w:t xml:space="preserve">programs </w:t>
      </w:r>
      <w:r w:rsidRPr="00B536E0">
        <w:t>to divert young people away from the justice system, through to tertiary intervention</w:t>
      </w:r>
      <w:r w:rsidR="001D51E7">
        <w:t>s that</w:t>
      </w:r>
      <w:r w:rsidRPr="00B536E0">
        <w:t xml:space="preserve"> rehabilitate children and young people who have offended, </w:t>
      </w:r>
      <w:r w:rsidR="001D51E7">
        <w:t>with strong</w:t>
      </w:r>
      <w:r w:rsidRPr="00B536E0">
        <w:t xml:space="preserve"> post-care support </w:t>
      </w:r>
      <w:r w:rsidR="001D51E7">
        <w:t>reintegrating</w:t>
      </w:r>
      <w:r w:rsidRPr="00B536E0">
        <w:t xml:space="preserve"> young people back into community and prevent</w:t>
      </w:r>
      <w:r w:rsidR="001D51E7">
        <w:t>ing</w:t>
      </w:r>
      <w:r w:rsidRPr="00B536E0">
        <w:t xml:space="preserve"> future </w:t>
      </w:r>
      <w:r w:rsidR="001D51E7">
        <w:t>offenses</w:t>
      </w:r>
      <w:r w:rsidR="00C60678" w:rsidRPr="00B536E0">
        <w:t>.</w:t>
      </w:r>
      <w:r w:rsidRPr="00B536E0">
        <w:t xml:space="preserve"> </w:t>
      </w:r>
      <w:r w:rsidR="00B663BA">
        <w:t xml:space="preserve">VCOSS members advise there are services gaps along the entire continuum and investment is required at every stage. </w:t>
      </w:r>
    </w:p>
    <w:p w14:paraId="0F5010B5" w14:textId="77777777" w:rsidR="004E2C9E" w:rsidRDefault="004E2C9E" w:rsidP="004E2C9E">
      <w:pPr>
        <w:rPr>
          <w:vertAlign w:val="superscript"/>
        </w:rPr>
      </w:pPr>
      <w:r w:rsidRPr="00531932">
        <w:t xml:space="preserve">This can include a mix of </w:t>
      </w:r>
      <w:r>
        <w:t xml:space="preserve">preventions, </w:t>
      </w:r>
      <w:r w:rsidRPr="00531932">
        <w:t xml:space="preserve">strategies and initiatives aimed at reducing known risk </w:t>
      </w:r>
      <w:r>
        <w:t>factors</w:t>
      </w:r>
      <w:r w:rsidRPr="00531932">
        <w:t xml:space="preserve">, such as poverty, family dysfunction, early school leaving, unemployment, and drug and alcohol abuse, while also strengthening protective </w:t>
      </w:r>
      <w:r>
        <w:t>factors,</w:t>
      </w:r>
      <w:r w:rsidRPr="00531932">
        <w:t xml:space="preserve"> such as building effective parenting skills</w:t>
      </w:r>
      <w:r>
        <w:t xml:space="preserve"> and helping young people remain engaged in education.</w:t>
      </w:r>
      <w:r w:rsidRPr="00531932">
        <w:rPr>
          <w:vertAlign w:val="superscript"/>
        </w:rPr>
        <w:footnoteReference w:id="79"/>
      </w:r>
      <w:r w:rsidRPr="00531932">
        <w:rPr>
          <w:vertAlign w:val="superscript"/>
        </w:rPr>
        <w:t xml:space="preserve">, </w:t>
      </w:r>
      <w:r w:rsidRPr="00531932">
        <w:rPr>
          <w:vertAlign w:val="superscript"/>
        </w:rPr>
        <w:footnoteReference w:id="80"/>
      </w:r>
      <w:r>
        <w:rPr>
          <w:vertAlign w:val="superscript"/>
        </w:rPr>
        <w:t xml:space="preserve"> </w:t>
      </w:r>
    </w:p>
    <w:p w14:paraId="2DC9F027" w14:textId="77777777" w:rsidR="004E2C9E" w:rsidRDefault="004E2C9E" w:rsidP="004E2C9E">
      <w:r>
        <w:rPr>
          <w:lang w:val="en-AU"/>
        </w:rPr>
        <w:t xml:space="preserve">Prevention strategies, which improve </w:t>
      </w:r>
      <w:r>
        <w:t xml:space="preserve">children and young people’s wellbeing, learning and development and tackle socioeconomic disadvantage, </w:t>
      </w:r>
      <w:r>
        <w:rPr>
          <w:lang w:val="en-AU"/>
        </w:rPr>
        <w:t>can be complemented by early intervention programs which target children and young people at greater risk of offending, to help them address the particular issues they are facing.</w:t>
      </w:r>
      <w:r>
        <w:rPr>
          <w:rStyle w:val="FootnoteReference"/>
        </w:rPr>
        <w:footnoteReference w:id="81"/>
      </w:r>
      <w:r>
        <w:rPr>
          <w:lang w:val="en-AU"/>
        </w:rPr>
        <w:t xml:space="preserve"> This can include interventions such as mentoring, education </w:t>
      </w:r>
      <w:r>
        <w:rPr>
          <w:lang w:val="en-AU"/>
        </w:rPr>
        <w:lastRenderedPageBreak/>
        <w:t xml:space="preserve">reengagement initiatives and diversion programs. </w:t>
      </w:r>
      <w:r>
        <w:t>Interventions are also most effective when they target multiple risk and protective factors.</w:t>
      </w:r>
      <w:r>
        <w:rPr>
          <w:rStyle w:val="FootnoteReference"/>
        </w:rPr>
        <w:footnoteReference w:id="82"/>
      </w:r>
    </w:p>
    <w:p w14:paraId="4CF6F83D" w14:textId="77777777" w:rsidR="003E7585" w:rsidRDefault="003E7585" w:rsidP="004E2C9E">
      <w:pPr>
        <w:rPr>
          <w:lang w:val="en-AU"/>
        </w:rPr>
      </w:pPr>
    </w:p>
    <w:p w14:paraId="2F5DC9E1" w14:textId="77777777" w:rsidR="00361DEF" w:rsidRDefault="00361DEF" w:rsidP="00361DEF">
      <w:r>
        <w:rPr>
          <w:noProof/>
          <w:lang w:val="en-AU" w:eastAsia="en-AU"/>
        </w:rPr>
        <w:drawing>
          <wp:inline distT="0" distB="0" distL="0" distR="0" wp14:anchorId="346BBAD6" wp14:editId="2C2DA935">
            <wp:extent cx="5486400" cy="3200400"/>
            <wp:effectExtent l="0" t="0" r="19050" b="0"/>
            <wp:docPr id="8" name="Diagram 8" descr="Prevention - addressing known risk factors&#10;Early intervention - young people at risk of offending&#10;Diversion - usually for first or second time offenders&#10;Tertiary intervention - treatment to prevent reoffending" title="Arrows showing a continnum from preventino through to tertiary interven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13E6C5F" w14:textId="77777777" w:rsidR="003E7585" w:rsidRDefault="003E7585" w:rsidP="001D51E7">
      <w:pPr>
        <w:rPr>
          <w:sz w:val="18"/>
          <w:szCs w:val="18"/>
        </w:rPr>
      </w:pPr>
    </w:p>
    <w:p w14:paraId="69BD4077" w14:textId="6B9F188C" w:rsidR="001D51E7" w:rsidRDefault="00361DEF" w:rsidP="001D51E7">
      <w:pPr>
        <w:rPr>
          <w:sz w:val="18"/>
          <w:szCs w:val="18"/>
        </w:rPr>
      </w:pPr>
      <w:r w:rsidRPr="00E72008">
        <w:rPr>
          <w:sz w:val="18"/>
          <w:szCs w:val="18"/>
        </w:rPr>
        <w:t xml:space="preserve">Adapted from: J Stewart, B </w:t>
      </w:r>
      <w:proofErr w:type="spellStart"/>
      <w:r w:rsidRPr="00E72008">
        <w:rPr>
          <w:sz w:val="18"/>
          <w:szCs w:val="18"/>
        </w:rPr>
        <w:t>Hedwards</w:t>
      </w:r>
      <w:proofErr w:type="spellEnd"/>
      <w:r w:rsidRPr="00E72008">
        <w:rPr>
          <w:sz w:val="18"/>
          <w:szCs w:val="18"/>
        </w:rPr>
        <w:t xml:space="preserve">, K Richards, M Willis and D Higgins </w:t>
      </w:r>
      <w:hyperlink r:id="rId19" w:history="1">
        <w:r w:rsidRPr="00E72008">
          <w:rPr>
            <w:rStyle w:val="Hyperlink"/>
            <w:i/>
            <w:iCs/>
            <w:sz w:val="18"/>
            <w:szCs w:val="18"/>
          </w:rPr>
          <w:t>Indigenous Youth Justice Programs Evaluation</w:t>
        </w:r>
      </w:hyperlink>
      <w:r w:rsidRPr="00E72008">
        <w:rPr>
          <w:sz w:val="18"/>
          <w:szCs w:val="18"/>
        </w:rPr>
        <w:t>, Australian Institute of Criminology, 2014.</w:t>
      </w:r>
    </w:p>
    <w:p w14:paraId="42D0526D" w14:textId="77777777" w:rsidR="003E7585" w:rsidRPr="00531932" w:rsidRDefault="003E7585" w:rsidP="001D51E7"/>
    <w:p w14:paraId="39677B9B" w14:textId="77777777" w:rsidR="001D51E7" w:rsidRDefault="00654A97" w:rsidP="00E937AE">
      <w:pPr>
        <w:pStyle w:val="Boxtext"/>
        <w:pBdr>
          <w:top w:val="single" w:sz="48" w:space="1" w:color="FDDBA5"/>
          <w:left w:val="single" w:sz="48" w:space="4" w:color="FDDBA5"/>
          <w:bottom w:val="single" w:sz="48" w:space="1" w:color="FDDBA5"/>
          <w:right w:val="single" w:sz="48" w:space="4" w:color="FDDBA5"/>
          <w:between w:val="single" w:sz="48" w:space="1" w:color="FDDBA5"/>
        </w:pBdr>
        <w:shd w:val="clear" w:color="auto" w:fill="FDDBA5"/>
        <w:rPr>
          <w:i/>
        </w:rPr>
      </w:pPr>
      <w:r w:rsidRPr="007C4E70">
        <w:rPr>
          <w:i/>
        </w:rPr>
        <w:t>“The best way to protect the community is to invest in measures that prevent or interrupt the criminal pathways of children who would otherwise go on to commit a disproportionately high volume of youth crime. Measures such as enhanced early intervention and resources to rehabilitate young offenders are the best way to steer at-risk children away from a life of crime and protect the community in the long term.”</w:t>
      </w:r>
      <w:r w:rsidRPr="00ED2AB3">
        <w:rPr>
          <w:rStyle w:val="FootnoteReference"/>
          <w:i/>
        </w:rPr>
        <w:t xml:space="preserve"> </w:t>
      </w:r>
    </w:p>
    <w:p w14:paraId="4B75C507" w14:textId="77777777" w:rsidR="00654A97" w:rsidRPr="00ED2AB3" w:rsidRDefault="001D51E7" w:rsidP="00ED2AB3">
      <w:pPr>
        <w:pStyle w:val="Boxtext"/>
        <w:pBdr>
          <w:top w:val="single" w:sz="48" w:space="1" w:color="FDDBA5"/>
          <w:left w:val="single" w:sz="48" w:space="4" w:color="FDDBA5"/>
          <w:bottom w:val="single" w:sz="48" w:space="1" w:color="FDDBA5"/>
          <w:right w:val="single" w:sz="48" w:space="4" w:color="FDDBA5"/>
          <w:between w:val="single" w:sz="48" w:space="1" w:color="FDDBA5"/>
        </w:pBdr>
        <w:shd w:val="clear" w:color="auto" w:fill="FDDBA5"/>
        <w:jc w:val="right"/>
        <w:rPr>
          <w:i/>
        </w:rPr>
      </w:pPr>
      <w:r w:rsidRPr="001D51E7">
        <w:rPr>
          <w:b/>
        </w:rPr>
        <w:t>Sentencing Advisory Council, 2016</w:t>
      </w:r>
      <w:r w:rsidR="00654A97" w:rsidRPr="00ED2AB3">
        <w:rPr>
          <w:rStyle w:val="FootnoteReference"/>
          <w:i/>
        </w:rPr>
        <w:footnoteReference w:id="83"/>
      </w:r>
    </w:p>
    <w:p w14:paraId="2B36A0A2" w14:textId="77777777" w:rsidR="001D51E7" w:rsidRDefault="001D51E7" w:rsidP="00654A97">
      <w:pPr>
        <w:rPr>
          <w:lang w:val="en-AU"/>
        </w:rPr>
      </w:pPr>
    </w:p>
    <w:p w14:paraId="0014764D" w14:textId="2E953BE1" w:rsidR="00654A97" w:rsidRDefault="00654A97" w:rsidP="00654A97">
      <w:r w:rsidRPr="007C24F9">
        <w:rPr>
          <w:lang w:val="en-AU"/>
        </w:rPr>
        <w:lastRenderedPageBreak/>
        <w:t xml:space="preserve">Prevention </w:t>
      </w:r>
      <w:r w:rsidR="00D51AB7">
        <w:rPr>
          <w:lang w:val="en-AU"/>
        </w:rPr>
        <w:t xml:space="preserve">and </w:t>
      </w:r>
      <w:r w:rsidR="001D51E7">
        <w:rPr>
          <w:lang w:val="en-AU"/>
        </w:rPr>
        <w:t xml:space="preserve">early </w:t>
      </w:r>
      <w:r w:rsidR="00D51AB7">
        <w:rPr>
          <w:lang w:val="en-AU"/>
        </w:rPr>
        <w:t>intervention strategies</w:t>
      </w:r>
      <w:r w:rsidRPr="007C24F9">
        <w:rPr>
          <w:lang w:val="en-AU"/>
        </w:rPr>
        <w:t xml:space="preserve"> </w:t>
      </w:r>
      <w:r>
        <w:t xml:space="preserve">deliver substantial long-term benefits, including savings to government </w:t>
      </w:r>
      <w:r w:rsidR="001D51E7">
        <w:t>by</w:t>
      </w:r>
      <w:r>
        <w:t xml:space="preserve"> reducing the demand on the youth justice system,</w:t>
      </w:r>
      <w:r>
        <w:rPr>
          <w:rStyle w:val="FootnoteReference"/>
        </w:rPr>
        <w:footnoteReference w:id="84"/>
      </w:r>
      <w:r>
        <w:t xml:space="preserve"> improving community safety</w:t>
      </w:r>
      <w:r w:rsidR="00711C40">
        <w:t>,</w:t>
      </w:r>
      <w:r>
        <w:t xml:space="preserve"> and improving the lives of vulnerable children and young people.</w:t>
      </w:r>
    </w:p>
    <w:p w14:paraId="44CA3F9C" w14:textId="2D75EDC7" w:rsidR="003E7585" w:rsidRDefault="00361DEF" w:rsidP="003E7585">
      <w:r>
        <w:t>Taking a whole-of-government approach</w:t>
      </w:r>
      <w:r w:rsidR="00AF0EDE" w:rsidRPr="00AF0EDE">
        <w:t xml:space="preserve"> </w:t>
      </w:r>
      <w:r w:rsidR="00AF0EDE">
        <w:t>helps tackle systemic causes of young peoples</w:t>
      </w:r>
      <w:r w:rsidR="00B87F2F">
        <w:t>’</w:t>
      </w:r>
      <w:r w:rsidR="00AF0EDE">
        <w:t xml:space="preserve"> involvement in the justice system. This</w:t>
      </w:r>
      <w:r>
        <w:t xml:space="preserve"> integrates policies and practices across child and family welfare, education, disability, health, p</w:t>
      </w:r>
      <w:r w:rsidR="00CB0358">
        <w:t>olice, legal</w:t>
      </w:r>
      <w:r>
        <w:t xml:space="preserve"> and youth justice systems</w:t>
      </w:r>
      <w:r w:rsidR="00AF0EDE">
        <w:t>.</w:t>
      </w:r>
      <w:r>
        <w:t xml:space="preserve"> Community involvement in the design and implementation of prevention and intervention initiatives, including Aboriginal and culturally diverse communities, </w:t>
      </w:r>
      <w:r w:rsidR="00AF0EDE">
        <w:t>increases</w:t>
      </w:r>
      <w:r>
        <w:t xml:space="preserve"> their effectiveness by </w:t>
      </w:r>
      <w:r w:rsidR="00AF0EDE">
        <w:t>addressing</w:t>
      </w:r>
      <w:r>
        <w:t xml:space="preserve"> community</w:t>
      </w:r>
      <w:r w:rsidR="00AF0EDE">
        <w:t>-identified problems</w:t>
      </w:r>
      <w:r>
        <w:t>, draw</w:t>
      </w:r>
      <w:r w:rsidR="00AF0EDE">
        <w:t>ing</w:t>
      </w:r>
      <w:r>
        <w:t xml:space="preserve"> on existing </w:t>
      </w:r>
      <w:r w:rsidR="00AF0EDE">
        <w:t xml:space="preserve">community </w:t>
      </w:r>
      <w:r>
        <w:t xml:space="preserve">strengths and </w:t>
      </w:r>
      <w:r w:rsidR="00AF0EDE">
        <w:t>resources, and being</w:t>
      </w:r>
      <w:r>
        <w:t xml:space="preserve"> culturally responsive.</w:t>
      </w:r>
      <w:r>
        <w:rPr>
          <w:rStyle w:val="FootnoteReference"/>
        </w:rPr>
        <w:footnoteReference w:id="85"/>
      </w:r>
      <w:r>
        <w:t xml:space="preserve"> </w:t>
      </w:r>
      <w:bookmarkStart w:id="23" w:name="_Toc476310201"/>
    </w:p>
    <w:p w14:paraId="1A387CA3" w14:textId="227C2055" w:rsidR="0003414A" w:rsidRDefault="00B536E0" w:rsidP="00B536E0">
      <w:pPr>
        <w:pStyle w:val="Heading2"/>
      </w:pPr>
      <w:r w:rsidRPr="00521467">
        <w:t>Prevent</w:t>
      </w:r>
      <w:r>
        <w:t xml:space="preserve"> </w:t>
      </w:r>
      <w:r w:rsidRPr="00521467">
        <w:t>crime</w:t>
      </w:r>
      <w:r>
        <w:t xml:space="preserve"> by tackling </w:t>
      </w:r>
      <w:r w:rsidR="00AF0EDE">
        <w:t>its</w:t>
      </w:r>
      <w:r>
        <w:t xml:space="preserve"> underlying causes</w:t>
      </w:r>
      <w:bookmarkEnd w:id="23"/>
      <w:r w:rsidR="0003414A">
        <w:t xml:space="preserve"> </w:t>
      </w:r>
    </w:p>
    <w:p w14:paraId="6A776536" w14:textId="5503F714" w:rsidR="00BA23A8" w:rsidRDefault="00267A06" w:rsidP="00BA23A8">
      <w:pPr>
        <w:pStyle w:val="Heading3"/>
      </w:pPr>
      <w:r>
        <w:t>I</w:t>
      </w:r>
      <w:r w:rsidR="00AE59C4">
        <w:t xml:space="preserve">nvest in </w:t>
      </w:r>
      <w:r w:rsidR="00AF0EDE">
        <w:t>children’s</w:t>
      </w:r>
      <w:r w:rsidR="00F63688">
        <w:t xml:space="preserve"> </w:t>
      </w:r>
      <w:r w:rsidR="008B5ED3">
        <w:t>early years</w:t>
      </w:r>
      <w:r w:rsidR="00AE59C4">
        <w:t xml:space="preserve"> </w:t>
      </w:r>
    </w:p>
    <w:p w14:paraId="349BA7C3" w14:textId="7118BA04" w:rsidR="00F63688" w:rsidRPr="007D4E11" w:rsidRDefault="00127C49" w:rsidP="00ED2AB3">
      <w:pPr>
        <w:pStyle w:val="Boxheading"/>
      </w:pPr>
      <w:r w:rsidRPr="007D4E11">
        <w:t>Recommendation</w:t>
      </w:r>
    </w:p>
    <w:p w14:paraId="44155921" w14:textId="6854B00A" w:rsidR="009A348F" w:rsidRPr="009E736B" w:rsidRDefault="009A348F" w:rsidP="00ED2AB3">
      <w:pPr>
        <w:pStyle w:val="Boxlist"/>
        <w:ind w:left="851" w:hanging="425"/>
      </w:pPr>
      <w:r w:rsidRPr="009E736B">
        <w:t xml:space="preserve">Invest in </w:t>
      </w:r>
      <w:r w:rsidR="00AF0EDE" w:rsidRPr="009E736B">
        <w:t>children’s</w:t>
      </w:r>
      <w:r w:rsidRPr="009E736B">
        <w:t xml:space="preserve"> early years to prevent harm and reduce the </w:t>
      </w:r>
      <w:r w:rsidR="00AF0EDE" w:rsidRPr="009E736B">
        <w:t>probability</w:t>
      </w:r>
      <w:r w:rsidRPr="009E736B">
        <w:t xml:space="preserve"> of later offending</w:t>
      </w:r>
    </w:p>
    <w:p w14:paraId="1DF725E8" w14:textId="77777777" w:rsidR="003E7585" w:rsidRDefault="003E7585" w:rsidP="00BA23A8">
      <w:pPr>
        <w:rPr>
          <w:lang w:val="en-AU"/>
        </w:rPr>
      </w:pPr>
    </w:p>
    <w:p w14:paraId="3D5FF08E" w14:textId="35603F3F" w:rsidR="00BA23A8" w:rsidRDefault="00AF0EDE" w:rsidP="00BA23A8">
      <w:pPr>
        <w:rPr>
          <w:rFonts w:ascii="Karla" w:hAnsi="Karla"/>
          <w:color w:val="000000"/>
          <w:sz w:val="24"/>
          <w:szCs w:val="24"/>
        </w:rPr>
      </w:pPr>
      <w:r w:rsidRPr="00AF0EDE">
        <w:rPr>
          <w:lang w:val="en-AU"/>
        </w:rPr>
        <w:t xml:space="preserve">Investing </w:t>
      </w:r>
      <w:r>
        <w:rPr>
          <w:lang w:val="en-AU"/>
        </w:rPr>
        <w:t xml:space="preserve">in children’s early years can help prevent harm and reduce the probability of later offending. </w:t>
      </w:r>
      <w:r w:rsidR="00BA23A8" w:rsidRPr="00ED2AB3">
        <w:rPr>
          <w:lang w:val="en-AU"/>
        </w:rPr>
        <w:t>The</w:t>
      </w:r>
      <w:r w:rsidR="00BA23A8">
        <w:t xml:space="preserve"> early years of life are a critical period for children’s healthy development, and</w:t>
      </w:r>
      <w:r w:rsidR="00BA23A8" w:rsidRPr="00304BF8">
        <w:t xml:space="preserve"> </w:t>
      </w:r>
      <w:r w:rsidR="00BA23A8">
        <w:t>are among the most formative in shaping the way children learn, develop and form relationships.</w:t>
      </w:r>
      <w:r w:rsidR="00BA23A8" w:rsidRPr="00ED2AB3">
        <w:rPr>
          <w:rStyle w:val="FootnoteReference"/>
        </w:rPr>
        <w:footnoteReference w:id="86"/>
      </w:r>
      <w:r w:rsidR="00BA23A8">
        <w:t xml:space="preserve"> Experiences during this time have long lasting effects into adulthood, influencing an individual’s mental and physical health, social adjustment, educational achievement and life expectancy.</w:t>
      </w:r>
      <w:r w:rsidR="00BA23A8">
        <w:rPr>
          <w:rStyle w:val="FootnoteReference"/>
        </w:rPr>
        <w:footnoteReference w:id="87"/>
      </w:r>
    </w:p>
    <w:p w14:paraId="7D3B8579" w14:textId="25BCD621" w:rsidR="00007B05" w:rsidRDefault="00AF0EDE" w:rsidP="00007B05">
      <w:r>
        <w:t>A</w:t>
      </w:r>
      <w:r w:rsidR="00007B05">
        <w:t xml:space="preserve"> combination of risk and protective factors at the individual, family, community and society level</w:t>
      </w:r>
      <w:r>
        <w:t xml:space="preserve"> affect c</w:t>
      </w:r>
      <w:r w:rsidR="00007B05">
        <w:t>hildren’s health, we</w:t>
      </w:r>
      <w:r>
        <w:t>llbeing and education</w:t>
      </w:r>
      <w:r w:rsidR="00007B05">
        <w:t>.</w:t>
      </w:r>
      <w:r w:rsidR="00007B05">
        <w:rPr>
          <w:rStyle w:val="FootnoteReference"/>
        </w:rPr>
        <w:footnoteReference w:id="88"/>
      </w:r>
      <w:r w:rsidR="00007B05">
        <w:t xml:space="preserve"> Risk factors such as </w:t>
      </w:r>
      <w:r>
        <w:t xml:space="preserve">poverty, </w:t>
      </w:r>
      <w:r w:rsidR="00007B05">
        <w:t>abuse or neglect, limited cognitive stimulation, witnessing family violence, parental mental illness</w:t>
      </w:r>
      <w:r>
        <w:t xml:space="preserve"> or</w:t>
      </w:r>
      <w:r w:rsidR="00007B05">
        <w:t xml:space="preserve"> substance abuse, an </w:t>
      </w:r>
      <w:r w:rsidR="00007B05" w:rsidRPr="0011702A">
        <w:t xml:space="preserve">absence of positive </w:t>
      </w:r>
      <w:r>
        <w:t xml:space="preserve">caregiver </w:t>
      </w:r>
      <w:r w:rsidR="00007B05" w:rsidRPr="0011702A">
        <w:t xml:space="preserve">attachments or toxic </w:t>
      </w:r>
      <w:r>
        <w:t>stress</w:t>
      </w:r>
      <w:r w:rsidR="00007B05" w:rsidRPr="0011702A">
        <w:t xml:space="preserve"> can contribute to developmental vulnerability.</w:t>
      </w:r>
      <w:r w:rsidR="00007B05" w:rsidRPr="0011702A">
        <w:rPr>
          <w:rStyle w:val="FootnoteReference"/>
        </w:rPr>
        <w:footnoteReference w:id="89"/>
      </w:r>
      <w:r w:rsidR="00007B05" w:rsidRPr="0011702A">
        <w:t xml:space="preserve"> Improvements in children’s developmental trajectories can be achieved by targeted interventions that reduce </w:t>
      </w:r>
      <w:r>
        <w:t xml:space="preserve">these </w:t>
      </w:r>
      <w:r w:rsidR="00007B05" w:rsidRPr="0011702A">
        <w:t xml:space="preserve">risk factors </w:t>
      </w:r>
      <w:r>
        <w:t>and</w:t>
      </w:r>
      <w:r w:rsidR="00007B05" w:rsidRPr="0011702A">
        <w:t xml:space="preserve"> enhance protective factors</w:t>
      </w:r>
      <w:r w:rsidR="009A348F" w:rsidRPr="0011702A">
        <w:t xml:space="preserve">, </w:t>
      </w:r>
      <w:r w:rsidR="009A348F" w:rsidRPr="0011702A">
        <w:lastRenderedPageBreak/>
        <w:t xml:space="preserve">such as </w:t>
      </w:r>
      <w:r w:rsidR="00007B05" w:rsidRPr="0011702A">
        <w:t>access to health and social care services, secure caregiver-child attachments, attendance at high quality early learning service</w:t>
      </w:r>
      <w:r w:rsidR="00595F7C" w:rsidRPr="0011702A">
        <w:t xml:space="preserve">s and </w:t>
      </w:r>
      <w:r>
        <w:t xml:space="preserve">strong </w:t>
      </w:r>
      <w:r w:rsidR="009A348F" w:rsidRPr="0011702A">
        <w:t>school engag</w:t>
      </w:r>
      <w:r w:rsidR="00595F7C" w:rsidRPr="0011702A">
        <w:t>ement</w:t>
      </w:r>
      <w:r w:rsidR="009A348F" w:rsidRPr="0011702A">
        <w:t>.</w:t>
      </w:r>
      <w:r w:rsidR="009A348F" w:rsidRPr="0011702A">
        <w:rPr>
          <w:rStyle w:val="FootnoteReference"/>
        </w:rPr>
        <w:footnoteReference w:id="90"/>
      </w:r>
      <w:r w:rsidR="009A348F">
        <w:t xml:space="preserve"> </w:t>
      </w:r>
    </w:p>
    <w:p w14:paraId="793529BF" w14:textId="78430D37" w:rsidR="001A2046" w:rsidRPr="004E2C9E" w:rsidRDefault="001A2046" w:rsidP="004E2C9E">
      <w:pPr>
        <w:rPr>
          <w:rFonts w:ascii="Karla" w:hAnsi="Karla"/>
          <w:color w:val="000000"/>
          <w:sz w:val="24"/>
          <w:szCs w:val="24"/>
        </w:rPr>
      </w:pPr>
      <w:r>
        <w:rPr>
          <w:lang w:val="en-AU"/>
        </w:rPr>
        <w:t>Positive actions</w:t>
      </w:r>
      <w:r w:rsidR="00595F7C">
        <w:rPr>
          <w:lang w:val="en-AU"/>
        </w:rPr>
        <w:t xml:space="preserve"> include</w:t>
      </w:r>
      <w:r w:rsidR="00BA23A8">
        <w:rPr>
          <w:lang w:val="en-AU"/>
        </w:rPr>
        <w:t xml:space="preserve"> increasing funding for supported </w:t>
      </w:r>
      <w:r w:rsidR="009A348F">
        <w:rPr>
          <w:lang w:val="en-AU"/>
        </w:rPr>
        <w:t>playgroups</w:t>
      </w:r>
      <w:r w:rsidR="00BA23A8">
        <w:rPr>
          <w:lang w:val="en-AU"/>
        </w:rPr>
        <w:t xml:space="preserve">, </w:t>
      </w:r>
      <w:r w:rsidR="009A348F">
        <w:rPr>
          <w:lang w:val="en-AU"/>
        </w:rPr>
        <w:t>providing</w:t>
      </w:r>
      <w:r w:rsidR="00BA23A8">
        <w:rPr>
          <w:lang w:val="en-AU"/>
        </w:rPr>
        <w:t xml:space="preserve"> high </w:t>
      </w:r>
      <w:r w:rsidR="009A348F">
        <w:rPr>
          <w:lang w:val="en-AU"/>
        </w:rPr>
        <w:t>quality</w:t>
      </w:r>
      <w:r w:rsidR="00BA23A8">
        <w:rPr>
          <w:lang w:val="en-AU"/>
        </w:rPr>
        <w:t xml:space="preserve"> affordable early learning, </w:t>
      </w:r>
      <w:r w:rsidR="00595F7C">
        <w:rPr>
          <w:lang w:val="en-AU"/>
        </w:rPr>
        <w:t xml:space="preserve">and </w:t>
      </w:r>
      <w:r>
        <w:rPr>
          <w:lang w:val="en-AU"/>
        </w:rPr>
        <w:t>using</w:t>
      </w:r>
      <w:r w:rsidR="00595F7C">
        <w:rPr>
          <w:lang w:val="en-AU"/>
        </w:rPr>
        <w:t xml:space="preserve"> </w:t>
      </w:r>
      <w:r w:rsidR="00F63688">
        <w:rPr>
          <w:lang w:val="en-AU"/>
        </w:rPr>
        <w:t>integrated</w:t>
      </w:r>
      <w:r w:rsidR="00BA23A8">
        <w:rPr>
          <w:lang w:val="en-AU"/>
        </w:rPr>
        <w:t xml:space="preserve"> </w:t>
      </w:r>
      <w:r>
        <w:rPr>
          <w:lang w:val="en-AU"/>
        </w:rPr>
        <w:t>service</w:t>
      </w:r>
      <w:r w:rsidR="00BA23A8">
        <w:rPr>
          <w:lang w:val="en-AU"/>
        </w:rPr>
        <w:t xml:space="preserve"> models that</w:t>
      </w:r>
      <w:r w:rsidR="009A348F">
        <w:rPr>
          <w:lang w:val="en-AU"/>
        </w:rPr>
        <w:t xml:space="preserve"> </w:t>
      </w:r>
      <w:r w:rsidR="00BA23A8">
        <w:rPr>
          <w:lang w:val="en-AU"/>
        </w:rPr>
        <w:t>prov</w:t>
      </w:r>
      <w:r w:rsidR="009A348F">
        <w:rPr>
          <w:lang w:val="en-AU"/>
        </w:rPr>
        <w:t>i</w:t>
      </w:r>
      <w:r w:rsidR="00BA23A8">
        <w:rPr>
          <w:lang w:val="en-AU"/>
        </w:rPr>
        <w:t xml:space="preserve">de </w:t>
      </w:r>
      <w:r w:rsidR="009A348F">
        <w:rPr>
          <w:lang w:val="en-AU"/>
        </w:rPr>
        <w:t>children</w:t>
      </w:r>
      <w:r w:rsidR="00BA23A8">
        <w:rPr>
          <w:lang w:val="en-AU"/>
        </w:rPr>
        <w:t xml:space="preserve"> and thei</w:t>
      </w:r>
      <w:r w:rsidR="009A348F">
        <w:rPr>
          <w:lang w:val="en-AU"/>
        </w:rPr>
        <w:t>r</w:t>
      </w:r>
      <w:r w:rsidR="00BA23A8">
        <w:rPr>
          <w:lang w:val="en-AU"/>
        </w:rPr>
        <w:t xml:space="preserve"> fa</w:t>
      </w:r>
      <w:r>
        <w:rPr>
          <w:lang w:val="en-AU"/>
        </w:rPr>
        <w:t>milies</w:t>
      </w:r>
      <w:r w:rsidR="00BA23A8">
        <w:rPr>
          <w:lang w:val="en-AU"/>
        </w:rPr>
        <w:t xml:space="preserve"> with better access to </w:t>
      </w:r>
      <w:r w:rsidR="009A348F">
        <w:rPr>
          <w:lang w:val="en-AU"/>
        </w:rPr>
        <w:t>prevention and early intervention services</w:t>
      </w:r>
      <w:r>
        <w:rPr>
          <w:lang w:val="en-AU"/>
        </w:rPr>
        <w:t xml:space="preserve"> in </w:t>
      </w:r>
      <w:r w:rsidR="00BA23A8">
        <w:rPr>
          <w:lang w:val="en-AU"/>
        </w:rPr>
        <w:t xml:space="preserve">education, </w:t>
      </w:r>
      <w:r>
        <w:rPr>
          <w:lang w:val="en-AU"/>
        </w:rPr>
        <w:t xml:space="preserve">health and </w:t>
      </w:r>
      <w:r w:rsidR="009A348F">
        <w:rPr>
          <w:lang w:val="en-AU"/>
        </w:rPr>
        <w:t>community</w:t>
      </w:r>
      <w:r>
        <w:rPr>
          <w:lang w:val="en-AU"/>
        </w:rPr>
        <w:t xml:space="preserve"> services.</w:t>
      </w:r>
    </w:p>
    <w:p w14:paraId="202FC37C" w14:textId="77777777" w:rsidR="003E7585" w:rsidRDefault="003E7585" w:rsidP="008B5ED3">
      <w:pPr>
        <w:pStyle w:val="Heading3"/>
      </w:pPr>
    </w:p>
    <w:p w14:paraId="2EB912C9" w14:textId="29FD1000" w:rsidR="004A5C2B" w:rsidRDefault="00361DEF" w:rsidP="008B5ED3">
      <w:pPr>
        <w:pStyle w:val="Heading3"/>
      </w:pPr>
      <w:r>
        <w:t xml:space="preserve">Promote </w:t>
      </w:r>
      <w:r w:rsidR="00F63688">
        <w:t>education</w:t>
      </w:r>
      <w:r w:rsidR="001A2046">
        <w:t xml:space="preserve">al </w:t>
      </w:r>
      <w:r w:rsidR="00F63688">
        <w:t>engagement</w:t>
      </w:r>
    </w:p>
    <w:p w14:paraId="60D2185C" w14:textId="519356A1" w:rsidR="00F63688" w:rsidRPr="00041F63" w:rsidRDefault="00D63C68" w:rsidP="00ED2AB3">
      <w:pPr>
        <w:pStyle w:val="Boxheading"/>
      </w:pPr>
      <w:r w:rsidRPr="007D4E11">
        <w:t>Recommendation</w:t>
      </w:r>
    </w:p>
    <w:p w14:paraId="53EE0984" w14:textId="1F3FA975" w:rsidR="00F63688" w:rsidRPr="00127C49" w:rsidRDefault="00127C49" w:rsidP="009E736B">
      <w:pPr>
        <w:pStyle w:val="Boxlist"/>
        <w:ind w:left="709" w:hanging="283"/>
      </w:pPr>
      <w:r>
        <w:t>Invest in help</w:t>
      </w:r>
      <w:r w:rsidR="001A2046">
        <w:t>ing</w:t>
      </w:r>
      <w:r>
        <w:t xml:space="preserve"> vulnerable young people</w:t>
      </w:r>
      <w:r w:rsidR="00AB5B59" w:rsidRPr="00127C49">
        <w:t xml:space="preserve"> </w:t>
      </w:r>
      <w:r w:rsidR="001A2046">
        <w:t>stay engaged</w:t>
      </w:r>
      <w:r w:rsidR="00AB5B59" w:rsidRPr="00127C49">
        <w:t xml:space="preserve"> or re</w:t>
      </w:r>
      <w:r w:rsidR="001A2046">
        <w:t>-engage in</w:t>
      </w:r>
      <w:r w:rsidR="00AB5B59" w:rsidRPr="00127C49">
        <w:t xml:space="preserve"> education and </w:t>
      </w:r>
      <w:r w:rsidR="004E2C9E">
        <w:t>training</w:t>
      </w:r>
    </w:p>
    <w:p w14:paraId="7CAA7CBD" w14:textId="0E081B9C" w:rsidR="001A2046" w:rsidRDefault="00F63688" w:rsidP="00127C49">
      <w:r>
        <w:t>Early school leavers are more vulnerable to becoming involved in the justice system</w:t>
      </w:r>
      <w:r w:rsidR="001A2046">
        <w:t>,</w:t>
      </w:r>
      <w:r w:rsidRPr="00D51518">
        <w:rPr>
          <w:vertAlign w:val="superscript"/>
        </w:rPr>
        <w:footnoteReference w:id="91"/>
      </w:r>
      <w:r>
        <w:t xml:space="preserve"> and many young people involved in youth justice have experienced disrupted education or disengagement. </w:t>
      </w:r>
    </w:p>
    <w:p w14:paraId="7764E037" w14:textId="2F8730D4" w:rsidR="00F63688" w:rsidRDefault="00F63688" w:rsidP="00127C49">
      <w:r>
        <w:t xml:space="preserve">A recent study </w:t>
      </w:r>
      <w:r w:rsidR="001A2046">
        <w:t xml:space="preserve">documented the educational engagement </w:t>
      </w:r>
      <w:r>
        <w:t xml:space="preserve">of </w:t>
      </w:r>
      <w:r w:rsidR="00C41D60">
        <w:t xml:space="preserve">103 </w:t>
      </w:r>
      <w:r>
        <w:t>young people</w:t>
      </w:r>
      <w:r w:rsidR="00C41D60">
        <w:t>, aged 12 to 19</w:t>
      </w:r>
      <w:r>
        <w:t xml:space="preserve"> involved in the Victoria’s Education Justice Initiative</w:t>
      </w:r>
      <w:r w:rsidR="001A2046">
        <w:t>.</w:t>
      </w:r>
      <w:r w:rsidR="00A61EF3">
        <w:rPr>
          <w:rStyle w:val="FootnoteReference"/>
          <w:rFonts w:ascii="Helvetica" w:hAnsi="Helvetica"/>
          <w:color w:val="333333"/>
          <w:sz w:val="20"/>
          <w:shd w:val="clear" w:color="auto" w:fill="FFFFFF"/>
        </w:rPr>
        <w:footnoteReference w:id="92"/>
      </w:r>
      <w:r w:rsidR="00A61EF3">
        <w:t xml:space="preserve"> </w:t>
      </w:r>
      <w:r w:rsidR="001A2046">
        <w:t xml:space="preserve"> Thirty-nine</w:t>
      </w:r>
      <w:r>
        <w:t xml:space="preserve"> per cent of young people </w:t>
      </w:r>
      <w:r w:rsidR="00C41D60">
        <w:t xml:space="preserve">of compulsory school age </w:t>
      </w:r>
      <w:r>
        <w:t xml:space="preserve">were not enrolled in education when </w:t>
      </w:r>
      <w:r w:rsidR="001A2046">
        <w:t>commencing the program.</w:t>
      </w:r>
      <w:r w:rsidR="00B663BA">
        <w:t xml:space="preserve"> </w:t>
      </w:r>
      <w:r w:rsidR="007D5970">
        <w:t xml:space="preserve">Almost half of all young people who were enrolled in education, had not attended a single day of school in the previous month.  </w:t>
      </w:r>
      <w:r>
        <w:t>Further, 70 per cent of young people had been enrolled in at least four Victorian schools</w:t>
      </w:r>
      <w:r w:rsidR="00E937AE">
        <w:t>, showing pattern of disrupted education</w:t>
      </w:r>
      <w:r>
        <w:t>.</w:t>
      </w:r>
      <w:r>
        <w:rPr>
          <w:rStyle w:val="FootnoteReference"/>
          <w:rFonts w:ascii="Helvetica" w:hAnsi="Helvetica"/>
          <w:color w:val="333333"/>
          <w:sz w:val="20"/>
          <w:shd w:val="clear" w:color="auto" w:fill="FFFFFF"/>
        </w:rPr>
        <w:footnoteReference w:id="93"/>
      </w:r>
      <w:r>
        <w:t xml:space="preserve"> </w:t>
      </w:r>
    </w:p>
    <w:p w14:paraId="28654C0A" w14:textId="22130E27" w:rsidR="00AB5B59" w:rsidRPr="00AB5B59" w:rsidRDefault="00F63688" w:rsidP="00127C49">
      <w:r w:rsidRPr="00AB5B59">
        <w:t xml:space="preserve">Initiatives that help vulnerable young people to maintain or reengage with education and </w:t>
      </w:r>
      <w:r w:rsidR="00D94184">
        <w:t>training,</w:t>
      </w:r>
      <w:r w:rsidRPr="00AB5B59">
        <w:t xml:space="preserve"> can help steer them away from anti-social behaviour and set them up for a more positive future.</w:t>
      </w:r>
      <w:r w:rsidR="00595F7C" w:rsidRPr="00AB5B59">
        <w:t xml:space="preserve"> VCOSS welcomes th</w:t>
      </w:r>
      <w:r w:rsidR="005939C8" w:rsidRPr="00AB5B59">
        <w:t xml:space="preserve">e </w:t>
      </w:r>
      <w:r w:rsidR="00052BCD" w:rsidRPr="00AB5B59">
        <w:t xml:space="preserve">Victorian Government’s </w:t>
      </w:r>
      <w:r w:rsidR="00D94184">
        <w:t>recent investments</w:t>
      </w:r>
      <w:r w:rsidR="00052BCD" w:rsidRPr="00AB5B59">
        <w:t xml:space="preserve"> including school </w:t>
      </w:r>
      <w:r w:rsidR="00595F7C" w:rsidRPr="00AB5B59">
        <w:t>e</w:t>
      </w:r>
      <w:r w:rsidR="005939C8" w:rsidRPr="00AB5B59">
        <w:t>quity funding, the Navigator</w:t>
      </w:r>
      <w:r w:rsidR="00595F7C" w:rsidRPr="00AB5B59">
        <w:t xml:space="preserve"> pilots</w:t>
      </w:r>
      <w:r w:rsidR="005939C8" w:rsidRPr="00AB5B59">
        <w:t xml:space="preserve">, </w:t>
      </w:r>
      <w:proofErr w:type="gramStart"/>
      <w:r w:rsidR="005939C8" w:rsidRPr="00AB5B59">
        <w:t>LOOKOUT</w:t>
      </w:r>
      <w:proofErr w:type="gramEnd"/>
      <w:r w:rsidR="005939C8" w:rsidRPr="00AB5B59">
        <w:t xml:space="preserve"> </w:t>
      </w:r>
      <w:r w:rsidR="00D94184">
        <w:t>E</w:t>
      </w:r>
      <w:r w:rsidR="00595F7C" w:rsidRPr="00AB5B59">
        <w:t xml:space="preserve">ducation </w:t>
      </w:r>
      <w:r w:rsidR="00D94184">
        <w:t>S</w:t>
      </w:r>
      <w:r w:rsidR="00052BCD" w:rsidRPr="00AB5B59">
        <w:t xml:space="preserve">upport </w:t>
      </w:r>
      <w:r w:rsidR="00D94184">
        <w:t>C</w:t>
      </w:r>
      <w:r w:rsidR="00595F7C" w:rsidRPr="00AB5B59">
        <w:t xml:space="preserve">entres </w:t>
      </w:r>
      <w:r w:rsidR="005939C8" w:rsidRPr="00AB5B59">
        <w:t>and Reconnect programs</w:t>
      </w:r>
      <w:r w:rsidR="00595F7C" w:rsidRPr="00AB5B59">
        <w:t xml:space="preserve">. </w:t>
      </w:r>
      <w:r w:rsidR="00052BCD" w:rsidRPr="00AB5B59">
        <w:t>However, m</w:t>
      </w:r>
      <w:r w:rsidR="00595F7C" w:rsidRPr="00AB5B59">
        <w:t>ore can be done to promote school engagement and help prevent early school leaving for young pe</w:t>
      </w:r>
      <w:r w:rsidR="00052BCD" w:rsidRPr="00AB5B59">
        <w:t>op</w:t>
      </w:r>
      <w:r w:rsidR="00595F7C" w:rsidRPr="00AB5B59">
        <w:t>l</w:t>
      </w:r>
      <w:r w:rsidR="00052BCD" w:rsidRPr="00AB5B59">
        <w:t>e</w:t>
      </w:r>
      <w:r w:rsidR="00595F7C" w:rsidRPr="00AB5B59">
        <w:t xml:space="preserve"> facing disadvantage. </w:t>
      </w:r>
    </w:p>
    <w:p w14:paraId="0722008C" w14:textId="517DAB91" w:rsidR="00382FEB" w:rsidRDefault="00595F7C" w:rsidP="00127C49">
      <w:r w:rsidRPr="00AB5B59">
        <w:t xml:space="preserve">The </w:t>
      </w:r>
      <w:r w:rsidR="00D94184">
        <w:t xml:space="preserve">report, </w:t>
      </w:r>
      <w:proofErr w:type="gramStart"/>
      <w:r w:rsidR="00B2791A">
        <w:t>C</w:t>
      </w:r>
      <w:r w:rsidR="00052BCD" w:rsidRPr="00D94184">
        <w:t>reating</w:t>
      </w:r>
      <w:proofErr w:type="gramEnd"/>
      <w:r w:rsidR="00052BCD" w:rsidRPr="00D94184">
        <w:t xml:space="preserve"> engaging schools for all children and young people: </w:t>
      </w:r>
      <w:r w:rsidR="00B2791A">
        <w:t>W</w:t>
      </w:r>
      <w:r w:rsidR="00052BCD" w:rsidRPr="00D94184">
        <w:t>hat works</w:t>
      </w:r>
      <w:r w:rsidR="00B2791A">
        <w:rPr>
          <w:rStyle w:val="FootnoteReference"/>
        </w:rPr>
        <w:footnoteReference w:id="94"/>
      </w:r>
      <w:r w:rsidRPr="00AB5B59">
        <w:t xml:space="preserve">, </w:t>
      </w:r>
      <w:r w:rsidR="00052BCD" w:rsidRPr="00AB5B59">
        <w:t xml:space="preserve">identifies 10 </w:t>
      </w:r>
      <w:r w:rsidRPr="00AB5B59">
        <w:t>strategies to help support engage all children and young people and prevent early school leaving</w:t>
      </w:r>
      <w:r w:rsidR="00052BCD" w:rsidRPr="00AB5B59">
        <w:t xml:space="preserve">. Some key initiatives include giving vulnerable children and young </w:t>
      </w:r>
      <w:r w:rsidR="00AB5B59" w:rsidRPr="00AB5B59">
        <w:t xml:space="preserve">people extra assistance at school, promoting student’s health and wellbeing, </w:t>
      </w:r>
      <w:r w:rsidR="00052BCD" w:rsidRPr="00AB5B59">
        <w:t xml:space="preserve">collaborating with families and communities </w:t>
      </w:r>
      <w:r w:rsidR="00052BCD" w:rsidRPr="00AB5B59">
        <w:lastRenderedPageBreak/>
        <w:t>a</w:t>
      </w:r>
      <w:r w:rsidR="00AB5B59" w:rsidRPr="00AB5B59">
        <w:t>n</w:t>
      </w:r>
      <w:r w:rsidR="00052BCD" w:rsidRPr="00AB5B59">
        <w:t xml:space="preserve">d providing flexible </w:t>
      </w:r>
      <w:r w:rsidR="00AB5B59" w:rsidRPr="00AB5B59">
        <w:t>learning</w:t>
      </w:r>
      <w:r w:rsidR="00052BCD" w:rsidRPr="00AB5B59">
        <w:t xml:space="preserve"> options. </w:t>
      </w:r>
      <w:r w:rsidR="00AB5B59" w:rsidRPr="00AB5B59">
        <w:t xml:space="preserve">The government can also continue to fund education initiatives which support young people involved in youth justice to maintain or reengage with education, such as the </w:t>
      </w:r>
      <w:r w:rsidRPr="00AB5B59">
        <w:t>E</w:t>
      </w:r>
      <w:r w:rsidR="00AB5B59" w:rsidRPr="00AB5B59">
        <w:t>ducation Justice Initiative.</w:t>
      </w:r>
    </w:p>
    <w:p w14:paraId="636B3DDE" w14:textId="77777777" w:rsidR="003E7585" w:rsidRDefault="003E7585" w:rsidP="00127C49"/>
    <w:p w14:paraId="0EED0B87" w14:textId="77777777" w:rsidR="00127C49" w:rsidRPr="007D4E11" w:rsidRDefault="00F63688" w:rsidP="00FE026E">
      <w:pPr>
        <w:pStyle w:val="Boxheading"/>
        <w:keepNext/>
        <w:pBdr>
          <w:top w:val="single" w:sz="48" w:space="1" w:color="FDDBA5"/>
          <w:left w:val="single" w:sz="48" w:space="4" w:color="FDDBA5"/>
          <w:bottom w:val="single" w:sz="48" w:space="1" w:color="FDDBA5"/>
          <w:right w:val="single" w:sz="48" w:space="4" w:color="FDDBA5"/>
          <w:between w:val="single" w:sz="48" w:space="1" w:color="FDDBA5"/>
        </w:pBdr>
        <w:shd w:val="clear" w:color="auto" w:fill="FDDBA5"/>
      </w:pPr>
      <w:r>
        <w:t xml:space="preserve">  </w:t>
      </w:r>
      <w:r w:rsidRPr="006D08E3">
        <w:t>Victoria’s Education Justice Initiative</w:t>
      </w:r>
      <w:r w:rsidRPr="00ED2AB3">
        <w:rPr>
          <w:rStyle w:val="FootnoteReference"/>
          <w:b w:val="0"/>
        </w:rPr>
        <w:footnoteReference w:id="95"/>
      </w:r>
    </w:p>
    <w:p w14:paraId="7CCA465D" w14:textId="4370952C" w:rsidR="00382FEB" w:rsidRDefault="00F63688" w:rsidP="00FE026E">
      <w:pPr>
        <w:pStyle w:val="Boxtext"/>
        <w:keepNext/>
        <w:pBdr>
          <w:top w:val="single" w:sz="48" w:space="1" w:color="FDDBA5"/>
          <w:left w:val="single" w:sz="48" w:space="4" w:color="FDDBA5"/>
          <w:bottom w:val="single" w:sz="48" w:space="1" w:color="FDDBA5"/>
          <w:right w:val="single" w:sz="48" w:space="4" w:color="FDDBA5"/>
          <w:between w:val="single" w:sz="48" w:space="1" w:color="FDDBA5"/>
        </w:pBdr>
        <w:shd w:val="clear" w:color="auto" w:fill="FDDBA5"/>
      </w:pPr>
      <w:r w:rsidRPr="00957E9E">
        <w:t>The Education Justice Initiative (EJI)</w:t>
      </w:r>
      <w:r>
        <w:t xml:space="preserve"> pilot works with young people appearing before the Melbourne Children’s Court (Criminal Division) or Children’s Koori Court to he</w:t>
      </w:r>
      <w:r w:rsidR="00127C49">
        <w:t>lp reengage them in education.</w:t>
      </w:r>
      <w:r w:rsidR="00E937AE">
        <w:t xml:space="preserve"> It</w:t>
      </w:r>
      <w:r w:rsidRPr="00331B05">
        <w:t xml:space="preserve"> is a partnership between Parkville College and the Children’s Court, with funding from </w:t>
      </w:r>
      <w:r w:rsidR="00E937AE">
        <w:t>the Department of Education and Training.</w:t>
      </w:r>
    </w:p>
    <w:p w14:paraId="07526F0B" w14:textId="0F490743" w:rsidR="00127C49" w:rsidRPr="00ED2AB3" w:rsidRDefault="00E937AE" w:rsidP="00ED2AB3">
      <w:pPr>
        <w:pStyle w:val="Boxtext"/>
        <w:pBdr>
          <w:top w:val="single" w:sz="48" w:space="1" w:color="FDDBA5"/>
          <w:left w:val="single" w:sz="48" w:space="4" w:color="FDDBA5"/>
          <w:bottom w:val="single" w:sz="48" w:space="1" w:color="FDDBA5"/>
          <w:right w:val="single" w:sz="48" w:space="4" w:color="FDDBA5"/>
          <w:between w:val="single" w:sz="48" w:space="1" w:color="FDDBA5"/>
        </w:pBdr>
        <w:shd w:val="clear" w:color="auto" w:fill="FDDBA5"/>
      </w:pPr>
      <w:r>
        <w:t>S</w:t>
      </w:r>
      <w:r w:rsidRPr="00331B05">
        <w:t xml:space="preserve">taff </w:t>
      </w:r>
      <w:r>
        <w:t>members</w:t>
      </w:r>
      <w:r w:rsidR="00F63688" w:rsidRPr="00331B05">
        <w:t xml:space="preserve"> act as a link between the young person and their families, schools and other education providers, courts and welfare services. Staff have specialist knowledge enabling them to effectively navigate the justice and education systems, advocate on behalf of young people</w:t>
      </w:r>
      <w:r>
        <w:t>,</w:t>
      </w:r>
      <w:r w:rsidR="00F63688" w:rsidRPr="00331B05">
        <w:t xml:space="preserve"> and offer them practical assistance and information to help reengage.</w:t>
      </w:r>
      <w:r w:rsidR="00F63688" w:rsidRPr="00331B05">
        <w:rPr>
          <w:vertAlign w:val="superscript"/>
        </w:rPr>
        <w:footnoteReference w:id="96"/>
      </w:r>
      <w:r w:rsidR="00F63688" w:rsidRPr="00ED2AB3">
        <w:t xml:space="preserve">  </w:t>
      </w:r>
    </w:p>
    <w:p w14:paraId="0259265D" w14:textId="10CDD49C" w:rsidR="00796894" w:rsidRDefault="00F63688" w:rsidP="00ED2AB3">
      <w:pPr>
        <w:pStyle w:val="Boxtext"/>
        <w:pBdr>
          <w:top w:val="single" w:sz="48" w:space="1" w:color="FDDBA5"/>
          <w:left w:val="single" w:sz="48" w:space="4" w:color="FDDBA5"/>
          <w:bottom w:val="single" w:sz="48" w:space="1" w:color="FDDBA5"/>
          <w:right w:val="single" w:sz="48" w:space="4" w:color="FDDBA5"/>
          <w:between w:val="single" w:sz="48" w:space="1" w:color="FDDBA5"/>
        </w:pBdr>
        <w:shd w:val="clear" w:color="auto" w:fill="FDDBA5"/>
      </w:pPr>
      <w:r>
        <w:t xml:space="preserve">Since launching in September 2014, EJI has had contact with around 450 young people, and worked closely with 103 young people. </w:t>
      </w:r>
      <w:r w:rsidR="00C41D60">
        <w:t>Most of the young people experienced substantial personal, social and educational disadvantage, and s</w:t>
      </w:r>
      <w:r w:rsidR="00382FEB">
        <w:t>eventy percent</w:t>
      </w:r>
      <w:r>
        <w:t xml:space="preserve"> of these young people were aged 12-16</w:t>
      </w:r>
      <w:r w:rsidR="00C41D60">
        <w:t xml:space="preserve"> and of compulsory school age</w:t>
      </w:r>
      <w:proofErr w:type="gramStart"/>
      <w:r w:rsidR="00C41D60">
        <w:t>.</w:t>
      </w:r>
      <w:r>
        <w:t>.</w:t>
      </w:r>
      <w:proofErr w:type="gramEnd"/>
      <w:r w:rsidR="00E937AE">
        <w:t xml:space="preserve"> </w:t>
      </w:r>
      <w:r>
        <w:t>A 2015 evaluation of the program found:</w:t>
      </w:r>
    </w:p>
    <w:p w14:paraId="16EF3C23" w14:textId="68195800" w:rsidR="00796894" w:rsidRPr="00796894" w:rsidRDefault="00F63688" w:rsidP="00ED2AB3">
      <w:pPr>
        <w:pStyle w:val="Boxlist"/>
        <w:pBdr>
          <w:top w:val="single" w:sz="18" w:space="1" w:color="FDDBA5"/>
          <w:left w:val="single" w:sz="48" w:space="11" w:color="FDDBA5"/>
          <w:bottom w:val="single" w:sz="18" w:space="1" w:color="FDDBA5"/>
          <w:right w:val="single" w:sz="48" w:space="11" w:color="FDDBA5"/>
          <w:between w:val="single" w:sz="18" w:space="1" w:color="FDDBA5"/>
        </w:pBdr>
        <w:shd w:val="clear" w:color="auto" w:fill="FDDBA5"/>
        <w:ind w:left="851" w:hanging="425"/>
      </w:pPr>
      <w:r w:rsidRPr="00796894">
        <w:t>75</w:t>
      </w:r>
      <w:r w:rsidR="00B663BA">
        <w:t xml:space="preserve"> per cent</w:t>
      </w:r>
      <w:r w:rsidRPr="00796894">
        <w:t xml:space="preserve"> of the 68 full clients were successfully re-connected with education</w:t>
      </w:r>
    </w:p>
    <w:p w14:paraId="45EDBA0A" w14:textId="7205AA1A" w:rsidR="00796894" w:rsidRDefault="00F63688" w:rsidP="00ED2AB3">
      <w:pPr>
        <w:pStyle w:val="Boxlist"/>
        <w:pBdr>
          <w:top w:val="single" w:sz="18" w:space="1" w:color="FDDBA5"/>
          <w:left w:val="single" w:sz="48" w:space="11" w:color="FDDBA5"/>
          <w:bottom w:val="single" w:sz="18" w:space="1" w:color="FDDBA5"/>
          <w:right w:val="single" w:sz="48" w:space="11" w:color="FDDBA5"/>
          <w:between w:val="single" w:sz="18" w:space="1" w:color="FDDBA5"/>
        </w:pBdr>
        <w:shd w:val="clear" w:color="auto" w:fill="FDDBA5"/>
        <w:ind w:left="851" w:hanging="425"/>
      </w:pPr>
      <w:r w:rsidRPr="00796894">
        <w:t>educational enrolment increased from 51</w:t>
      </w:r>
      <w:r w:rsidR="00B663BA">
        <w:t xml:space="preserve"> per cent</w:t>
      </w:r>
      <w:r w:rsidRPr="00796894">
        <w:t xml:space="preserve"> to 75</w:t>
      </w:r>
      <w:r w:rsidR="00B663BA">
        <w:t xml:space="preserve"> per cent</w:t>
      </w:r>
    </w:p>
    <w:p w14:paraId="417F3233" w14:textId="7A2200BE" w:rsidR="00796894" w:rsidRPr="00796894" w:rsidRDefault="00F63688" w:rsidP="00ED2AB3">
      <w:pPr>
        <w:pStyle w:val="Boxlist"/>
        <w:pBdr>
          <w:top w:val="single" w:sz="18" w:space="1" w:color="FDDBA5"/>
          <w:left w:val="single" w:sz="48" w:space="11" w:color="FDDBA5"/>
          <w:bottom w:val="single" w:sz="18" w:space="1" w:color="FDDBA5"/>
          <w:right w:val="single" w:sz="48" w:space="11" w:color="FDDBA5"/>
          <w:between w:val="single" w:sz="18" w:space="1" w:color="FDDBA5"/>
        </w:pBdr>
        <w:shd w:val="clear" w:color="auto" w:fill="FDDBA5"/>
        <w:ind w:left="851" w:hanging="425"/>
      </w:pPr>
      <w:proofErr w:type="gramStart"/>
      <w:r w:rsidRPr="00796894">
        <w:t>attendance</w:t>
      </w:r>
      <w:proofErr w:type="gramEnd"/>
      <w:r w:rsidRPr="00796894">
        <w:t xml:space="preserve"> in education increased from 9</w:t>
      </w:r>
      <w:r w:rsidR="00B663BA">
        <w:t xml:space="preserve"> per cent</w:t>
      </w:r>
      <w:r w:rsidRPr="00796894">
        <w:t xml:space="preserve"> to 54</w:t>
      </w:r>
      <w:r w:rsidR="00B663BA">
        <w:t xml:space="preserve"> per cent</w:t>
      </w:r>
      <w:r w:rsidR="00E937AE" w:rsidRPr="00382FEB">
        <w:t>.</w:t>
      </w:r>
      <w:r w:rsidRPr="00796894">
        <w:rPr>
          <w:vertAlign w:val="superscript"/>
        </w:rPr>
        <w:footnoteReference w:id="97"/>
      </w:r>
      <w:r w:rsidRPr="00796894">
        <w:rPr>
          <w:vertAlign w:val="superscript"/>
        </w:rPr>
        <w:t xml:space="preserve"> </w:t>
      </w:r>
      <w:r w:rsidRPr="00ED2AB3">
        <w:t xml:space="preserve"> </w:t>
      </w:r>
    </w:p>
    <w:p w14:paraId="16B5B62F" w14:textId="1C2D5087" w:rsidR="00E937AE" w:rsidRDefault="00F63688" w:rsidP="00CF1E9D">
      <w:pPr>
        <w:pStyle w:val="Boxtext"/>
        <w:pBdr>
          <w:top w:val="single" w:sz="48" w:space="1" w:color="FDDBA5"/>
          <w:left w:val="single" w:sz="48" w:space="4" w:color="FDDBA5"/>
          <w:bottom w:val="single" w:sz="48" w:space="1" w:color="FDDBA5"/>
          <w:right w:val="single" w:sz="48" w:space="4" w:color="FDDBA5"/>
          <w:between w:val="single" w:sz="48" w:space="1" w:color="FDDBA5"/>
        </w:pBdr>
        <w:shd w:val="clear" w:color="auto" w:fill="FDDBA5"/>
      </w:pPr>
      <w:r>
        <w:t>The</w:t>
      </w:r>
      <w:r w:rsidR="00A61EF3">
        <w:t xml:space="preserve"> report also states</w:t>
      </w:r>
      <w:r w:rsidR="00B663BA">
        <w:t xml:space="preserve"> </w:t>
      </w:r>
      <w:r w:rsidR="00A61EF3">
        <w:t xml:space="preserve">there </w:t>
      </w:r>
      <w:r>
        <w:t>is some anecdotal evidence EJI can help divert young people from being remanded or sentence in detention, and improve rehabilitation and reduce reoffending among young people.</w:t>
      </w:r>
      <w:r w:rsidRPr="00331B05">
        <w:rPr>
          <w:vertAlign w:val="superscript"/>
        </w:rPr>
        <w:footnoteReference w:id="98"/>
      </w:r>
    </w:p>
    <w:p w14:paraId="2340F150" w14:textId="77777777" w:rsidR="001A2046" w:rsidRDefault="001A2046" w:rsidP="00356301">
      <w:pPr>
        <w:pStyle w:val="Heading3"/>
      </w:pPr>
    </w:p>
    <w:p w14:paraId="3D5B8E00" w14:textId="77777777" w:rsidR="00382FEB" w:rsidRDefault="00382FEB">
      <w:pPr>
        <w:spacing w:before="200"/>
        <w:rPr>
          <w:rFonts w:eastAsiaTheme="majorEastAsia" w:cstheme="majorBidi"/>
          <w:b/>
          <w:bCs/>
          <w:color w:val="E36C0A" w:themeColor="accent6" w:themeShade="BF"/>
          <w:sz w:val="24"/>
          <w:szCs w:val="24"/>
          <w:lang w:val="en-AU"/>
        </w:rPr>
      </w:pPr>
      <w:r>
        <w:br w:type="page"/>
      </w:r>
    </w:p>
    <w:p w14:paraId="0126EA67" w14:textId="7FA3402C" w:rsidR="00356301" w:rsidRDefault="00361DEF" w:rsidP="00356301">
      <w:pPr>
        <w:pStyle w:val="Heading3"/>
      </w:pPr>
      <w:r>
        <w:lastRenderedPageBreak/>
        <w:t xml:space="preserve">Break the link between </w:t>
      </w:r>
      <w:r w:rsidR="00A20582">
        <w:t>child protection</w:t>
      </w:r>
      <w:r>
        <w:t xml:space="preserve"> and youth justice</w:t>
      </w:r>
    </w:p>
    <w:p w14:paraId="6F247BBC" w14:textId="2C33BA01" w:rsidR="00A20582" w:rsidRPr="007D4E11" w:rsidRDefault="00B4344D" w:rsidP="00ED2AB3">
      <w:pPr>
        <w:pStyle w:val="Boxheading"/>
      </w:pPr>
      <w:r w:rsidRPr="007D4E11">
        <w:t>Recommendation</w:t>
      </w:r>
      <w:r w:rsidR="00D754BA" w:rsidRPr="00D754BA">
        <w:t>s</w:t>
      </w:r>
    </w:p>
    <w:p w14:paraId="50AE2CE8" w14:textId="6FB73F07" w:rsidR="00EA5630" w:rsidRDefault="000725A0" w:rsidP="00B663BA">
      <w:pPr>
        <w:pStyle w:val="Boxlist"/>
        <w:ind w:left="567" w:hanging="141"/>
      </w:pPr>
      <w:r w:rsidRPr="007A550C">
        <w:t>Work in partnership</w:t>
      </w:r>
      <w:r w:rsidR="00E96240">
        <w:t xml:space="preserve"> to </w:t>
      </w:r>
      <w:r w:rsidRPr="007A550C">
        <w:t>develop a strategy to divert Aboriginal children in out-of-home care from entering or progressing in</w:t>
      </w:r>
      <w:r w:rsidR="00EA5630">
        <w:t xml:space="preserve"> the </w:t>
      </w:r>
      <w:r w:rsidR="00D754BA">
        <w:t>youth justice</w:t>
      </w:r>
      <w:r w:rsidRPr="007A550C">
        <w:t xml:space="preserve"> system</w:t>
      </w:r>
    </w:p>
    <w:p w14:paraId="7F3CCA5E" w14:textId="63F9E8B4" w:rsidR="000725A0" w:rsidRPr="007A550C" w:rsidRDefault="000725A0" w:rsidP="00B663BA">
      <w:pPr>
        <w:pStyle w:val="Boxlist"/>
        <w:ind w:left="567" w:hanging="141"/>
      </w:pPr>
      <w:r w:rsidRPr="007A550C">
        <w:t>Develop an inter-agency protocol to reduce</w:t>
      </w:r>
      <w:r w:rsidR="00B4344D">
        <w:t xml:space="preserve"> the </w:t>
      </w:r>
      <w:r w:rsidRPr="007A550C">
        <w:t xml:space="preserve">contact of young people in residential care with police and the criminal justice system </w:t>
      </w:r>
    </w:p>
    <w:p w14:paraId="2C2F2F3B" w14:textId="05612739" w:rsidR="00B4344D" w:rsidRPr="00A20582" w:rsidRDefault="000725A0" w:rsidP="00B663BA">
      <w:pPr>
        <w:pStyle w:val="Boxlist"/>
        <w:ind w:left="567" w:hanging="141"/>
      </w:pPr>
      <w:r w:rsidRPr="007A550C">
        <w:t>Extend support for young people in</w:t>
      </w:r>
      <w:r w:rsidR="00B4344D">
        <w:t xml:space="preserve"> out of home care to at least </w:t>
      </w:r>
      <w:r w:rsidRPr="007A550C">
        <w:t xml:space="preserve">age </w:t>
      </w:r>
      <w:r w:rsidR="00B4344D">
        <w:t>21</w:t>
      </w:r>
      <w:r w:rsidR="00127C49">
        <w:t>.</w:t>
      </w:r>
    </w:p>
    <w:p w14:paraId="0039460C" w14:textId="7D3253FB" w:rsidR="00127C49" w:rsidRDefault="00B4344D" w:rsidP="000006F2">
      <w:pPr>
        <w:rPr>
          <w:vertAlign w:val="superscript"/>
        </w:rPr>
      </w:pPr>
      <w:r w:rsidRPr="000D6E89">
        <w:t xml:space="preserve">There is consistent evidence of a link between </w:t>
      </w:r>
      <w:r w:rsidR="00127C49" w:rsidRPr="000D6E89">
        <w:t xml:space="preserve">children and young </w:t>
      </w:r>
      <w:r w:rsidR="00D94184" w:rsidRPr="000D6E89">
        <w:t>people</w:t>
      </w:r>
      <w:r w:rsidR="00127C49" w:rsidRPr="000D6E89">
        <w:t xml:space="preserve"> </w:t>
      </w:r>
      <w:r w:rsidRPr="000D6E89">
        <w:t>experiencing child abuse and neglect</w:t>
      </w:r>
      <w:r w:rsidR="000725A0">
        <w:t>,</w:t>
      </w:r>
      <w:r w:rsidRPr="000D6E89">
        <w:t xml:space="preserve"> and later offending.</w:t>
      </w:r>
      <w:r w:rsidRPr="000D6E89">
        <w:rPr>
          <w:vertAlign w:val="superscript"/>
        </w:rPr>
        <w:footnoteReference w:id="99"/>
      </w:r>
      <w:r w:rsidRPr="000D6E89">
        <w:rPr>
          <w:vertAlign w:val="superscript"/>
        </w:rPr>
        <w:t xml:space="preserve"> </w:t>
      </w:r>
      <w:r w:rsidR="009E736B" w:rsidRPr="00D63C68">
        <w:t>Sixty percent of children aged 10 at the time of their first youth justice supervision, were also in child protection.</w:t>
      </w:r>
      <w:r w:rsidR="009E736B" w:rsidRPr="00D63C68">
        <w:rPr>
          <w:vertAlign w:val="superscript"/>
        </w:rPr>
        <w:footnoteReference w:id="100"/>
      </w:r>
      <w:r w:rsidR="009E736B" w:rsidRPr="000006F2">
        <w:rPr>
          <w:vertAlign w:val="superscript"/>
        </w:rPr>
        <w:t xml:space="preserve"> </w:t>
      </w:r>
      <w:r w:rsidR="00127C49" w:rsidRPr="000D6E89">
        <w:t>Young</w:t>
      </w:r>
      <w:r w:rsidR="00127C49">
        <w:t xml:space="preserve"> people involved in the child protection system </w:t>
      </w:r>
      <w:r w:rsidR="000725A0">
        <w:t>are</w:t>
      </w:r>
      <w:r w:rsidR="00127C49">
        <w:t xml:space="preserve"> 14 times more likely than </w:t>
      </w:r>
      <w:r w:rsidR="000725A0">
        <w:t>other children</w:t>
      </w:r>
      <w:r w:rsidR="00127C49">
        <w:t xml:space="preserve"> to be under youth justice supervision</w:t>
      </w:r>
      <w:r w:rsidR="00E937AE">
        <w:t>,</w:t>
      </w:r>
      <w:r w:rsidR="00127C49" w:rsidRPr="000006F2">
        <w:rPr>
          <w:vertAlign w:val="superscript"/>
        </w:rPr>
        <w:footnoteReference w:id="101"/>
      </w:r>
      <w:r w:rsidR="00127C49" w:rsidRPr="000006F2">
        <w:rPr>
          <w:vertAlign w:val="superscript"/>
        </w:rPr>
        <w:t xml:space="preserve"> </w:t>
      </w:r>
      <w:r w:rsidR="00127C49">
        <w:t>with even higher rates for</w:t>
      </w:r>
      <w:r w:rsidR="00127C49" w:rsidRPr="000006F2">
        <w:t xml:space="preserve"> Aboriginal young people. Aboriginal young people in the child protection system were </w:t>
      </w:r>
      <w:r w:rsidR="00127C49" w:rsidRPr="00D63C68">
        <w:t xml:space="preserve">twice </w:t>
      </w:r>
      <w:r w:rsidR="00D63C68" w:rsidRPr="00D63C68">
        <w:t>as likely to be under youth justice supervision as</w:t>
      </w:r>
      <w:r w:rsidR="00127C49" w:rsidRPr="00D63C68">
        <w:t xml:space="preserve"> non-Aboriginal children.</w:t>
      </w:r>
      <w:r w:rsidR="00127C49" w:rsidRPr="00D63C68">
        <w:rPr>
          <w:vertAlign w:val="superscript"/>
        </w:rPr>
        <w:footnoteReference w:id="102"/>
      </w:r>
      <w:r w:rsidR="00127C49" w:rsidRPr="00D63C68">
        <w:t xml:space="preserve"> </w:t>
      </w:r>
    </w:p>
    <w:p w14:paraId="231390A1" w14:textId="6111EBA1" w:rsidR="000725A0" w:rsidRDefault="003F7720" w:rsidP="008D6BEA">
      <w:pPr>
        <w:rPr>
          <w:shd w:val="clear" w:color="auto" w:fill="FFFFFF"/>
        </w:rPr>
      </w:pPr>
      <w:r>
        <w:t xml:space="preserve">VCOSS supports the Commission for </w:t>
      </w:r>
      <w:r w:rsidR="00D63C68">
        <w:t xml:space="preserve">Aboriginal </w:t>
      </w:r>
      <w:r>
        <w:t>Children and Young People’s recommendation for DHHS to work in partnership with the Aboriginal Children’s Forum to developing a strategy to divert Aboriginal children in out-of-home care from entering or progressing in the youth justice system.</w:t>
      </w:r>
      <w:r w:rsidRPr="001213E5">
        <w:rPr>
          <w:vertAlign w:val="superscript"/>
        </w:rPr>
        <w:footnoteReference w:id="103"/>
      </w:r>
      <w:r w:rsidR="00127C49" w:rsidRPr="00EA0CE7">
        <w:rPr>
          <w:vertAlign w:val="superscript"/>
        </w:rPr>
        <w:t xml:space="preserve"> </w:t>
      </w:r>
      <w:r w:rsidR="000725A0">
        <w:rPr>
          <w:shd w:val="clear" w:color="auto" w:fill="FFFFFF"/>
        </w:rPr>
        <w:t>S</w:t>
      </w:r>
      <w:r w:rsidR="008D6BEA" w:rsidRPr="00E96240">
        <w:rPr>
          <w:shd w:val="clear" w:color="auto" w:fill="FFFFFF"/>
        </w:rPr>
        <w:t xml:space="preserve">ome residential care facilities </w:t>
      </w:r>
      <w:r w:rsidR="000725A0">
        <w:rPr>
          <w:shd w:val="clear" w:color="auto" w:fill="FFFFFF"/>
        </w:rPr>
        <w:t>rely too heavily on</w:t>
      </w:r>
      <w:r w:rsidR="008D6BEA" w:rsidRPr="00E96240">
        <w:rPr>
          <w:shd w:val="clear" w:color="auto" w:fill="FFFFFF"/>
        </w:rPr>
        <w:t xml:space="preserve"> police </w:t>
      </w:r>
      <w:r w:rsidR="000725A0">
        <w:rPr>
          <w:shd w:val="clear" w:color="auto" w:fill="FFFFFF"/>
        </w:rPr>
        <w:t>intervention</w:t>
      </w:r>
      <w:r w:rsidR="008D6BEA" w:rsidRPr="00E96240">
        <w:rPr>
          <w:shd w:val="clear" w:color="auto" w:fill="FFFFFF"/>
        </w:rPr>
        <w:t xml:space="preserve"> for minor behavioural incidents, such as </w:t>
      </w:r>
      <w:r w:rsidR="008D6BEA" w:rsidRPr="00E96240">
        <w:t>‘smashing a cup, throwing a sink plug or spreading food around a unit’s kitchen’.</w:t>
      </w:r>
      <w:r w:rsidR="008D6BEA" w:rsidRPr="00E96240">
        <w:rPr>
          <w:rStyle w:val="FootnoteReference"/>
        </w:rPr>
        <w:footnoteReference w:id="104"/>
      </w:r>
      <w:r w:rsidR="008D6BEA" w:rsidRPr="00E96240">
        <w:t xml:space="preserve"> </w:t>
      </w:r>
      <w:r w:rsidR="008D6BEA" w:rsidRPr="00E96240">
        <w:rPr>
          <w:shd w:val="clear" w:color="auto" w:fill="FFFFFF"/>
        </w:rPr>
        <w:t xml:space="preserve"> If these behaviours occurred in a traditional family home they would be unlikely to </w:t>
      </w:r>
      <w:r w:rsidR="00127C49" w:rsidRPr="00E96240">
        <w:rPr>
          <w:shd w:val="clear" w:color="auto" w:fill="FFFFFF"/>
        </w:rPr>
        <w:t>attract</w:t>
      </w:r>
      <w:r w:rsidR="008D6BEA" w:rsidRPr="00E96240">
        <w:rPr>
          <w:shd w:val="clear" w:color="auto" w:fill="FFFFFF"/>
        </w:rPr>
        <w:t xml:space="preserve"> police attention.</w:t>
      </w:r>
      <w:r w:rsidR="008D6BEA" w:rsidRPr="00E96240">
        <w:rPr>
          <w:rStyle w:val="FootnoteReference"/>
        </w:rPr>
        <w:footnoteReference w:id="105"/>
      </w:r>
      <w:r w:rsidR="008D6BEA" w:rsidRPr="00E96240">
        <w:t xml:space="preserve"> </w:t>
      </w:r>
      <w:r w:rsidR="008D6BEA" w:rsidRPr="00E96240">
        <w:rPr>
          <w:shd w:val="clear" w:color="auto" w:fill="FFFFFF"/>
        </w:rPr>
        <w:t xml:space="preserve">Similarly, VCOSS members report police are called </w:t>
      </w:r>
      <w:r w:rsidR="000725A0">
        <w:rPr>
          <w:shd w:val="clear" w:color="auto" w:fill="FFFFFF"/>
        </w:rPr>
        <w:t>for</w:t>
      </w:r>
      <w:r w:rsidR="008D6BEA" w:rsidRPr="00E96240">
        <w:rPr>
          <w:shd w:val="clear" w:color="auto" w:fill="FFFFFF"/>
        </w:rPr>
        <w:t xml:space="preserve"> minor </w:t>
      </w:r>
      <w:r w:rsidR="00127C49" w:rsidRPr="00E96240">
        <w:rPr>
          <w:shd w:val="clear" w:color="auto" w:fill="FFFFFF"/>
        </w:rPr>
        <w:t>incidents</w:t>
      </w:r>
      <w:r w:rsidR="008D6BEA" w:rsidRPr="00E96240">
        <w:rPr>
          <w:shd w:val="clear" w:color="auto" w:fill="FFFFFF"/>
        </w:rPr>
        <w:t xml:space="preserve"> </w:t>
      </w:r>
      <w:r w:rsidR="000725A0">
        <w:rPr>
          <w:shd w:val="clear" w:color="auto" w:fill="FFFFFF"/>
        </w:rPr>
        <w:t>involving</w:t>
      </w:r>
      <w:r w:rsidR="008D6BEA" w:rsidRPr="00E96240">
        <w:rPr>
          <w:shd w:val="clear" w:color="auto" w:fill="FFFFFF"/>
        </w:rPr>
        <w:t xml:space="preserve"> young people with disability living in supported accommodation. </w:t>
      </w:r>
    </w:p>
    <w:p w14:paraId="3471BFFF" w14:textId="315BBE81" w:rsidR="008D6BEA" w:rsidRPr="00ED2AB3" w:rsidRDefault="008D6BEA" w:rsidP="008D6BEA">
      <w:pPr>
        <w:rPr>
          <w:vertAlign w:val="superscript"/>
        </w:rPr>
      </w:pPr>
      <w:r w:rsidRPr="00E96240">
        <w:rPr>
          <w:shd w:val="clear" w:color="auto" w:fill="FFFFFF"/>
        </w:rPr>
        <w:t xml:space="preserve">Developing strategies to reduce the </w:t>
      </w:r>
      <w:proofErr w:type="spellStart"/>
      <w:r w:rsidRPr="00E96240">
        <w:rPr>
          <w:shd w:val="clear" w:color="auto" w:fill="FFFFFF"/>
        </w:rPr>
        <w:t>criminalisation</w:t>
      </w:r>
      <w:proofErr w:type="spellEnd"/>
      <w:r w:rsidRPr="00E96240">
        <w:rPr>
          <w:shd w:val="clear" w:color="auto" w:fill="FFFFFF"/>
        </w:rPr>
        <w:t xml:space="preserve"> of young people in </w:t>
      </w:r>
      <w:r w:rsidR="000725A0">
        <w:rPr>
          <w:shd w:val="clear" w:color="auto" w:fill="FFFFFF"/>
        </w:rPr>
        <w:t>out of home care</w:t>
      </w:r>
      <w:r w:rsidRPr="00E96240">
        <w:rPr>
          <w:shd w:val="clear" w:color="auto" w:fill="FFFFFF"/>
        </w:rPr>
        <w:t xml:space="preserve"> and supported accommodation could help break the link</w:t>
      </w:r>
      <w:r w:rsidR="00E96240" w:rsidRPr="00E96240">
        <w:rPr>
          <w:shd w:val="clear" w:color="auto" w:fill="FFFFFF"/>
        </w:rPr>
        <w:t xml:space="preserve"> between child protection and youth justice</w:t>
      </w:r>
      <w:r w:rsidRPr="00E96240">
        <w:rPr>
          <w:shd w:val="clear" w:color="auto" w:fill="FFFFFF"/>
        </w:rPr>
        <w:t xml:space="preserve">. </w:t>
      </w:r>
      <w:r w:rsidRPr="00E96240">
        <w:t>VCOSS supports the recommendation by V</w:t>
      </w:r>
      <w:r w:rsidR="00D63C68">
        <w:t xml:space="preserve">ictoria </w:t>
      </w:r>
      <w:r w:rsidRPr="00E96240">
        <w:t>L</w:t>
      </w:r>
      <w:r w:rsidR="00D63C68">
        <w:t xml:space="preserve">egal </w:t>
      </w:r>
      <w:r w:rsidRPr="00E96240">
        <w:t>A</w:t>
      </w:r>
      <w:r w:rsidR="00D63C68">
        <w:t>id</w:t>
      </w:r>
      <w:r w:rsidRPr="00E96240">
        <w:t xml:space="preserve"> to develop and implement an inter-agency protocol to reduce the contact of young people in residential care with police and the criminal justice system</w:t>
      </w:r>
      <w:r w:rsidR="00E81A1F" w:rsidRPr="00E96240">
        <w:t>.</w:t>
      </w:r>
      <w:r w:rsidR="00E81A1F" w:rsidRPr="00E96240">
        <w:rPr>
          <w:rStyle w:val="FootnoteReference"/>
        </w:rPr>
        <w:footnoteReference w:id="106"/>
      </w:r>
    </w:p>
    <w:p w14:paraId="49CC920F" w14:textId="24A7AEAF" w:rsidR="008D6BEA" w:rsidRPr="008D6BEA" w:rsidRDefault="00EA5630" w:rsidP="00D90F99">
      <w:pPr>
        <w:rPr>
          <w:rFonts w:ascii="Calibri" w:hAnsi="Calibri" w:cs="Calibri"/>
          <w:color w:val="000000"/>
          <w:szCs w:val="22"/>
          <w:lang w:val="en-AU"/>
        </w:rPr>
      </w:pPr>
      <w:r w:rsidRPr="000006F2">
        <w:lastRenderedPageBreak/>
        <w:t xml:space="preserve">Young care leavers are </w:t>
      </w:r>
      <w:r w:rsidR="00E96240">
        <w:t xml:space="preserve">also </w:t>
      </w:r>
      <w:r w:rsidRPr="000006F2">
        <w:t>at greater risk of involvement with the justice system and</w:t>
      </w:r>
      <w:r w:rsidR="00D754BA" w:rsidRPr="000006F2">
        <w:t xml:space="preserve"> </w:t>
      </w:r>
      <w:r w:rsidRPr="000006F2">
        <w:t>experiencing housing instability or homelessness, unemployment and low incomes, poorer educational achievement, poor physical and mental health, substance abuse, social isolation, and early parenthood.</w:t>
      </w:r>
      <w:r w:rsidRPr="000006F2">
        <w:rPr>
          <w:vertAlign w:val="superscript"/>
        </w:rPr>
        <w:footnoteReference w:id="107"/>
      </w:r>
      <w:r w:rsidRPr="000006F2">
        <w:rPr>
          <w:vertAlign w:val="superscript"/>
        </w:rPr>
        <w:t>,</w:t>
      </w:r>
      <w:r w:rsidRPr="000006F2">
        <w:rPr>
          <w:vertAlign w:val="superscript"/>
        </w:rPr>
        <w:footnoteReference w:id="108"/>
      </w:r>
      <w:r w:rsidRPr="000006F2">
        <w:rPr>
          <w:vertAlign w:val="superscript"/>
        </w:rPr>
        <w:t xml:space="preserve"> </w:t>
      </w:r>
      <w:r w:rsidR="00D90F99" w:rsidRPr="00D63C68">
        <w:t xml:space="preserve"> </w:t>
      </w:r>
      <w:r w:rsidR="00D63C68" w:rsidRPr="00D63C68">
        <w:t>Li</w:t>
      </w:r>
      <w:r w:rsidR="008D6BEA" w:rsidRPr="00D63C68">
        <w:t>mited</w:t>
      </w:r>
      <w:r w:rsidR="008D6BEA" w:rsidRPr="008D6BEA">
        <w:rPr>
          <w:szCs w:val="22"/>
        </w:rPr>
        <w:t xml:space="preserve"> support in the post-care period </w:t>
      </w:r>
      <w:r w:rsidR="00406A49">
        <w:rPr>
          <w:szCs w:val="22"/>
        </w:rPr>
        <w:t>is</w:t>
      </w:r>
      <w:r w:rsidR="008D6BEA" w:rsidRPr="008D6BEA">
        <w:rPr>
          <w:szCs w:val="22"/>
        </w:rPr>
        <w:t xml:space="preserve"> associated with increased risk of offending behaviour.</w:t>
      </w:r>
      <w:r w:rsidR="00D90F99" w:rsidRPr="00E81A1F">
        <w:rPr>
          <w:rStyle w:val="FootnoteReference"/>
          <w:szCs w:val="22"/>
        </w:rPr>
        <w:footnoteReference w:id="109"/>
      </w:r>
    </w:p>
    <w:p w14:paraId="66C90F89" w14:textId="27A83946" w:rsidR="00B611F6" w:rsidRPr="000006F2" w:rsidRDefault="00B611F6" w:rsidP="000006F2">
      <w:r w:rsidRPr="000006F2">
        <w:t xml:space="preserve">The Victorian government can </w:t>
      </w:r>
      <w:r w:rsidR="00D63C68">
        <w:t xml:space="preserve">reduce the chance of involvement in youth justice and </w:t>
      </w:r>
      <w:r w:rsidRPr="000006F2">
        <w:t>help young care leavers</w:t>
      </w:r>
      <w:r w:rsidR="005223F9" w:rsidRPr="000006F2">
        <w:t xml:space="preserve"> </w:t>
      </w:r>
      <w:r w:rsidRPr="000006F2">
        <w:t>achieve better health,</w:t>
      </w:r>
      <w:r w:rsidR="008D6BEA">
        <w:t xml:space="preserve"> employment and quality of life</w:t>
      </w:r>
      <w:r w:rsidRPr="000006F2">
        <w:t xml:space="preserve"> by providing holistic support and care until at least age 2</w:t>
      </w:r>
      <w:r w:rsidR="005223F9" w:rsidRPr="000006F2">
        <w:t>1. VCOSS, along with many other organisations, are part of the Home Stretch campaign,</w:t>
      </w:r>
      <w:r w:rsidR="005223F9" w:rsidRPr="000006F2">
        <w:rPr>
          <w:vertAlign w:val="superscript"/>
        </w:rPr>
        <w:footnoteReference w:id="110"/>
      </w:r>
      <w:r w:rsidR="005223F9" w:rsidRPr="000006F2">
        <w:rPr>
          <w:vertAlign w:val="superscript"/>
        </w:rPr>
        <w:t> </w:t>
      </w:r>
      <w:r w:rsidR="005223F9" w:rsidRPr="000006F2">
        <w:t xml:space="preserve">calling on the Victorian government to extend </w:t>
      </w:r>
      <w:r w:rsidR="000725A0">
        <w:t>support provided from young people</w:t>
      </w:r>
      <w:r w:rsidR="005223F9" w:rsidRPr="000006F2">
        <w:t xml:space="preserve"> leaving </w:t>
      </w:r>
      <w:r w:rsidR="000725A0">
        <w:t xml:space="preserve">out of home </w:t>
      </w:r>
      <w:r w:rsidR="005223F9" w:rsidRPr="000006F2">
        <w:t xml:space="preserve">care </w:t>
      </w:r>
      <w:r w:rsidR="000725A0">
        <w:t>from</w:t>
      </w:r>
      <w:r w:rsidR="005223F9" w:rsidRPr="000006F2">
        <w:t xml:space="preserve"> age from 18 to 21.</w:t>
      </w:r>
    </w:p>
    <w:p w14:paraId="73126B56" w14:textId="77777777" w:rsidR="003E7585" w:rsidRDefault="003E7585" w:rsidP="00011AB8">
      <w:pPr>
        <w:pStyle w:val="Heading3"/>
      </w:pPr>
    </w:p>
    <w:p w14:paraId="1E746D06" w14:textId="149A073B" w:rsidR="0095256A" w:rsidRPr="0095256A" w:rsidRDefault="00361DEF" w:rsidP="00011AB8">
      <w:pPr>
        <w:pStyle w:val="Heading3"/>
      </w:pPr>
      <w:r>
        <w:t>Invest in p</w:t>
      </w:r>
      <w:r w:rsidR="00011AB8">
        <w:t>lace</w:t>
      </w:r>
      <w:r w:rsidR="0095256A">
        <w:t>-based</w:t>
      </w:r>
      <w:r w:rsidR="0095256A" w:rsidRPr="0095256A">
        <w:t xml:space="preserve"> interventions</w:t>
      </w:r>
      <w:r w:rsidR="00011AB8">
        <w:t xml:space="preserve"> and justice reinvestment</w:t>
      </w:r>
      <w:r w:rsidR="00E72008">
        <w:t xml:space="preserve"> strategies</w:t>
      </w:r>
    </w:p>
    <w:p w14:paraId="197F5752" w14:textId="44E20D88" w:rsidR="00011AB8" w:rsidRPr="00D440F7" w:rsidRDefault="00EC34A5" w:rsidP="00011AB8">
      <w:pPr>
        <w:pStyle w:val="Boxtext"/>
        <w:rPr>
          <w:b/>
          <w:bCs/>
        </w:rPr>
      </w:pPr>
      <w:r>
        <w:t xml:space="preserve"> </w:t>
      </w:r>
      <w:r w:rsidR="007A550C">
        <w:rPr>
          <w:b/>
          <w:bCs/>
        </w:rPr>
        <w:t>Recommendation</w:t>
      </w:r>
    </w:p>
    <w:p w14:paraId="48D4AF38" w14:textId="77777777" w:rsidR="00011AB8" w:rsidRDefault="00011AB8" w:rsidP="000006F2">
      <w:pPr>
        <w:pStyle w:val="Boxtext"/>
        <w:numPr>
          <w:ilvl w:val="0"/>
          <w:numId w:val="7"/>
        </w:numPr>
      </w:pPr>
      <w:r>
        <w:t>Develop justice reinvestment strategies to tackle the causes of crime and address entrenched disadvantage</w:t>
      </w:r>
    </w:p>
    <w:p w14:paraId="24ACAD8B" w14:textId="77777777" w:rsidR="003E7585" w:rsidRDefault="003E7585" w:rsidP="00EC34A5"/>
    <w:p w14:paraId="11D632BA" w14:textId="05837243" w:rsidR="00EC34A5" w:rsidRDefault="00EC34A5" w:rsidP="00EC34A5">
      <w:r>
        <w:t xml:space="preserve">Children and young </w:t>
      </w:r>
      <w:r w:rsidR="007A550C">
        <w:t>people</w:t>
      </w:r>
      <w:r>
        <w:t xml:space="preserve"> </w:t>
      </w:r>
      <w:r w:rsidR="00D63C68">
        <w:t xml:space="preserve">involved in </w:t>
      </w:r>
      <w:r w:rsidR="007A550C">
        <w:t xml:space="preserve">the </w:t>
      </w:r>
      <w:r w:rsidR="00D63C68">
        <w:t>youth justice</w:t>
      </w:r>
      <w:r w:rsidR="007A550C">
        <w:t xml:space="preserve"> system</w:t>
      </w:r>
      <w:r w:rsidR="00D63C68">
        <w:t xml:space="preserve"> often</w:t>
      </w:r>
      <w:r>
        <w:t xml:space="preserve"> come from communities experiencing entrenched intergenerational disadvantage. Young people from the lowest socioeconomic areas </w:t>
      </w:r>
      <w:r w:rsidR="00D63C68">
        <w:t>are</w:t>
      </w:r>
      <w:r>
        <w:t xml:space="preserve"> six times more likely to be under supervision than those from the highest socioeconomic areas.</w:t>
      </w:r>
      <w:r>
        <w:rPr>
          <w:rStyle w:val="FootnoteReference"/>
          <w:rFonts w:ascii="AJensonPro-Regular" w:hAnsi="AJensonPro-Regular" w:cs="AJensonPro-Regular"/>
          <w:sz w:val="23"/>
          <w:szCs w:val="23"/>
        </w:rPr>
        <w:footnoteReference w:id="111"/>
      </w:r>
      <w:r>
        <w:t xml:space="preserve"> One quarter of childr</w:t>
      </w:r>
      <w:r w:rsidR="00D63C68">
        <w:t>en and young people on remand co</w:t>
      </w:r>
      <w:r>
        <w:t>me from Victoria’s 16 poorest suburbs (2.6</w:t>
      </w:r>
      <w:r w:rsidR="00B663BA">
        <w:t xml:space="preserve"> per cent</w:t>
      </w:r>
      <w:r>
        <w:t>).</w:t>
      </w:r>
      <w:r>
        <w:rPr>
          <w:rStyle w:val="FootnoteReference"/>
        </w:rPr>
        <w:footnoteReference w:id="112"/>
      </w:r>
      <w:r>
        <w:t xml:space="preserve"> </w:t>
      </w:r>
    </w:p>
    <w:p w14:paraId="239F3856" w14:textId="6220D7A6" w:rsidR="007A550C" w:rsidRDefault="00011AB8" w:rsidP="00190D41">
      <w:r w:rsidRPr="00011AB8">
        <w:t xml:space="preserve">VCOSS welcomes </w:t>
      </w:r>
      <w:r w:rsidR="007A550C">
        <w:t>the Victorian government’s</w:t>
      </w:r>
      <w:r w:rsidRPr="00011AB8">
        <w:t xml:space="preserve"> investment in the p</w:t>
      </w:r>
      <w:r w:rsidR="00530B6B" w:rsidRPr="00011AB8">
        <w:t xml:space="preserve">lace based </w:t>
      </w:r>
      <w:r w:rsidRPr="00011AB8">
        <w:t>Youth Crime Prevention Grants program. T</w:t>
      </w:r>
      <w:r w:rsidR="00190D41" w:rsidRPr="00011AB8">
        <w:t xml:space="preserve">he </w:t>
      </w:r>
      <w:r w:rsidR="00190D41" w:rsidRPr="002A55BE">
        <w:t xml:space="preserve">government </w:t>
      </w:r>
      <w:r w:rsidR="00041F63">
        <w:t xml:space="preserve">can </w:t>
      </w:r>
      <w:r w:rsidR="007A550C">
        <w:t xml:space="preserve">build on this approach and </w:t>
      </w:r>
      <w:r w:rsidR="00190D41" w:rsidRPr="002A55BE">
        <w:t xml:space="preserve">address the underlying reasons </w:t>
      </w:r>
      <w:r w:rsidR="007A550C">
        <w:t xml:space="preserve">young </w:t>
      </w:r>
      <w:r w:rsidR="00190D41" w:rsidRPr="002A55BE">
        <w:t>people commit crime by adopting a</w:t>
      </w:r>
      <w:r w:rsidR="00D63C68">
        <w:t xml:space="preserve"> whole-of-government</w:t>
      </w:r>
      <w:r w:rsidR="00190D41" w:rsidRPr="002A55BE">
        <w:t xml:space="preserve"> justice reinvestment strategy. </w:t>
      </w:r>
    </w:p>
    <w:p w14:paraId="78CF00CA" w14:textId="20FDEF39" w:rsidR="00190D41" w:rsidRPr="00011AB8" w:rsidRDefault="00190D41" w:rsidP="00190D41">
      <w:pPr>
        <w:rPr>
          <w:highlight w:val="yellow"/>
          <w:lang w:val="en-AU"/>
        </w:rPr>
      </w:pPr>
      <w:r w:rsidRPr="002A55BE">
        <w:t>Justice reinvestment empowers communities experiencing disadvantage to find local solutions to economic and social risk factors behind offending</w:t>
      </w:r>
      <w:r>
        <w:t xml:space="preserve">. It focuses on the wellbeing of children and </w:t>
      </w:r>
      <w:r>
        <w:lastRenderedPageBreak/>
        <w:t xml:space="preserve">young people and intervenes early in their </w:t>
      </w:r>
      <w:r w:rsidR="007A550C">
        <w:t>lives</w:t>
      </w:r>
      <w:r>
        <w:t xml:space="preserve"> to </w:t>
      </w:r>
      <w:r w:rsidRPr="002A55BE">
        <w:t>help prevent crime from happening</w:t>
      </w:r>
      <w:r>
        <w:t xml:space="preserve">, and to help </w:t>
      </w:r>
      <w:r w:rsidRPr="002A55BE">
        <w:t xml:space="preserve">avoid </w:t>
      </w:r>
      <w:r>
        <w:t xml:space="preserve">children and young people </w:t>
      </w:r>
      <w:r w:rsidRPr="002A55BE">
        <w:t xml:space="preserve">getting caught in </w:t>
      </w:r>
      <w:r>
        <w:t xml:space="preserve">a </w:t>
      </w:r>
      <w:r w:rsidRPr="002A55BE">
        <w:t xml:space="preserve">pattern of </w:t>
      </w:r>
      <w:r>
        <w:t xml:space="preserve">offending </w:t>
      </w:r>
      <w:r w:rsidRPr="002A55BE">
        <w:t>behaviour</w:t>
      </w:r>
      <w:r>
        <w:t>.</w:t>
      </w:r>
      <w:r w:rsidRPr="00A23236">
        <w:rPr>
          <w:vertAlign w:val="superscript"/>
        </w:rPr>
        <w:footnoteReference w:id="113"/>
      </w:r>
      <w:r w:rsidRPr="00A23236">
        <w:rPr>
          <w:vertAlign w:val="superscript"/>
        </w:rPr>
        <w:t> </w:t>
      </w:r>
    </w:p>
    <w:p w14:paraId="385E4151" w14:textId="6215F950" w:rsidR="00190D41" w:rsidRPr="00AE15D1" w:rsidRDefault="00190D41" w:rsidP="00190D41">
      <w:pPr>
        <w:rPr>
          <w:rFonts w:eastAsia="Times New Roman"/>
          <w:color w:val="030909"/>
          <w:sz w:val="27"/>
          <w:szCs w:val="27"/>
          <w:lang w:val="en-AU" w:eastAsia="zh-TW"/>
        </w:rPr>
      </w:pPr>
      <w:r>
        <w:t>Just</w:t>
      </w:r>
      <w:r w:rsidR="007A550C">
        <w:t>ice</w:t>
      </w:r>
      <w:r>
        <w:t xml:space="preserve"> reinvestment </w:t>
      </w:r>
      <w:r w:rsidR="007A550C">
        <w:t>means</w:t>
      </w:r>
      <w:r w:rsidRPr="00A8069E">
        <w:t xml:space="preserve"> </w:t>
      </w:r>
      <w:r w:rsidR="007A550C">
        <w:t>reallocating</w:t>
      </w:r>
      <w:r w:rsidRPr="00A8069E">
        <w:t xml:space="preserve"> funds from the criminal justice system </w:t>
      </w:r>
      <w:r>
        <w:t>to</w:t>
      </w:r>
      <w:r w:rsidRPr="00A8069E">
        <w:t xml:space="preserve"> </w:t>
      </w:r>
      <w:r>
        <w:t xml:space="preserve">evidence based </w:t>
      </w:r>
      <w:r w:rsidRPr="00A8069E">
        <w:t xml:space="preserve">early intervention, crime prevention and diversionary programs. </w:t>
      </w:r>
      <w:r w:rsidRPr="00680CB1">
        <w:t xml:space="preserve">The approach taken in each location </w:t>
      </w:r>
      <w:r w:rsidR="007A550C">
        <w:t>is adapted</w:t>
      </w:r>
      <w:r>
        <w:t xml:space="preserve"> to meet the local circumstances</w:t>
      </w:r>
      <w:r w:rsidRPr="00680CB1">
        <w:t xml:space="preserve">, but can include programs that help young people remain in education or work, provide safe and accessible housing, </w:t>
      </w:r>
      <w:r>
        <w:t xml:space="preserve">address drug and alcohol use, </w:t>
      </w:r>
      <w:r w:rsidRPr="00680CB1">
        <w:t>and prevent abuse, trauma and neglect</w:t>
      </w:r>
      <w:r>
        <w:rPr>
          <w:rFonts w:eastAsia="Times New Roman"/>
          <w:color w:val="030909"/>
          <w:sz w:val="27"/>
          <w:szCs w:val="27"/>
          <w:lang w:val="en-AU" w:eastAsia="zh-TW"/>
        </w:rPr>
        <w:t>.</w:t>
      </w:r>
      <w:r w:rsidRPr="00680CB1">
        <w:rPr>
          <w:vertAlign w:val="superscript"/>
        </w:rPr>
        <w:t xml:space="preserve"> </w:t>
      </w:r>
      <w:r w:rsidRPr="00A23236">
        <w:rPr>
          <w:vertAlign w:val="superscript"/>
        </w:rPr>
        <w:footnoteReference w:id="114"/>
      </w:r>
      <w:r>
        <w:rPr>
          <w:vertAlign w:val="superscript"/>
        </w:rPr>
        <w:t>,</w:t>
      </w:r>
      <w:r>
        <w:rPr>
          <w:rStyle w:val="FootnoteReference"/>
        </w:rPr>
        <w:footnoteReference w:id="115"/>
      </w:r>
    </w:p>
    <w:p w14:paraId="12FC84B0" w14:textId="2A391E9D" w:rsidR="00190D41" w:rsidRPr="002A55BE" w:rsidRDefault="00190D41" w:rsidP="00190D41">
      <w:r>
        <w:t>By tackling disadvantage and the cases of crime, j</w:t>
      </w:r>
      <w:r w:rsidRPr="002A55BE">
        <w:t>ust</w:t>
      </w:r>
      <w:r w:rsidR="007A550C">
        <w:t>ice</w:t>
      </w:r>
      <w:r w:rsidRPr="002A55BE">
        <w:t xml:space="preserve"> reinvestment helps build stronger and safer communities.</w:t>
      </w:r>
      <w:r w:rsidRPr="00A23236">
        <w:rPr>
          <w:vertAlign w:val="superscript"/>
        </w:rPr>
        <w:footnoteReference w:id="116"/>
      </w:r>
      <w:r w:rsidRPr="00A23236">
        <w:rPr>
          <w:vertAlign w:val="superscript"/>
        </w:rPr>
        <w:t> </w:t>
      </w:r>
      <w:r w:rsidRPr="002A55BE">
        <w:t>It saves money over time by reducing expenditure on youth justice services. For example, an analysis of a justice reinvestment approach in QLD estimates an upfront investment of $10 million over four years, could save up to $263 million by 2030.</w:t>
      </w:r>
      <w:r w:rsidRPr="002A55BE">
        <w:rPr>
          <w:vertAlign w:val="superscript"/>
        </w:rPr>
        <w:footnoteReference w:id="117"/>
      </w:r>
      <w:r w:rsidRPr="002A55BE">
        <w:rPr>
          <w:vertAlign w:val="superscript"/>
        </w:rPr>
        <w:t> </w:t>
      </w:r>
    </w:p>
    <w:p w14:paraId="7C7B199E" w14:textId="7C1E50CE" w:rsidR="00190D41" w:rsidRDefault="00190D41" w:rsidP="00190D41">
      <w:pPr>
        <w:rPr>
          <w:shd w:val="clear" w:color="auto" w:fill="FFFFFF"/>
        </w:rPr>
      </w:pPr>
      <w:r>
        <w:t>The Victorian government could work with local communities to identify opportunities for piloting justice rei</w:t>
      </w:r>
      <w:r w:rsidR="00011AB8">
        <w:t>nvestment approaches to reduce</w:t>
      </w:r>
      <w:r>
        <w:t xml:space="preserve"> </w:t>
      </w:r>
      <w:r w:rsidR="00011AB8">
        <w:t>offending behaviour and promote community safety</w:t>
      </w:r>
      <w:r>
        <w:t xml:space="preserve">. </w:t>
      </w:r>
      <w:r>
        <w:rPr>
          <w:shd w:val="clear" w:color="auto" w:fill="FFFFFF"/>
        </w:rPr>
        <w:t xml:space="preserve">A project in </w:t>
      </w:r>
      <w:r w:rsidRPr="000D676F">
        <w:rPr>
          <w:shd w:val="clear" w:color="auto" w:fill="FFFFFF"/>
        </w:rPr>
        <w:t>Bourke</w:t>
      </w:r>
      <w:r>
        <w:rPr>
          <w:shd w:val="clear" w:color="auto" w:fill="FFFFFF"/>
        </w:rPr>
        <w:t>, NSW,</w:t>
      </w:r>
      <w:r w:rsidRPr="000D676F">
        <w:rPr>
          <w:shd w:val="clear" w:color="auto" w:fill="FFFFFF"/>
        </w:rPr>
        <w:t xml:space="preserve"> can be used as a starting point for similar trial</w:t>
      </w:r>
      <w:r>
        <w:rPr>
          <w:shd w:val="clear" w:color="auto" w:fill="FFFFFF"/>
        </w:rPr>
        <w:t>s</w:t>
      </w:r>
      <w:r w:rsidRPr="000D676F">
        <w:rPr>
          <w:shd w:val="clear" w:color="auto" w:fill="FFFFFF"/>
        </w:rPr>
        <w:t xml:space="preserve"> in Victoria</w:t>
      </w:r>
      <w:r w:rsidR="00D63C68">
        <w:rPr>
          <w:shd w:val="clear" w:color="auto" w:fill="FFFFFF"/>
        </w:rPr>
        <w:t>.</w:t>
      </w:r>
    </w:p>
    <w:p w14:paraId="0F8A652C" w14:textId="77777777" w:rsidR="003E7585" w:rsidRPr="004B1820" w:rsidRDefault="003E7585" w:rsidP="00190D41">
      <w:pPr>
        <w:rPr>
          <w:shd w:val="clear" w:color="auto" w:fill="FFFFFF"/>
        </w:rPr>
      </w:pPr>
    </w:p>
    <w:p w14:paraId="67F9F695" w14:textId="77777777" w:rsidR="004B1820" w:rsidRDefault="00190D41" w:rsidP="004B1820">
      <w:pPr>
        <w:pStyle w:val="Box3List"/>
        <w:numPr>
          <w:ilvl w:val="0"/>
          <w:numId w:val="0"/>
        </w:numPr>
        <w:ind w:left="284"/>
        <w:rPr>
          <w:b/>
          <w:bCs/>
        </w:rPr>
      </w:pPr>
      <w:r>
        <w:rPr>
          <w:b/>
          <w:bCs/>
        </w:rPr>
        <w:t>Bourke</w:t>
      </w:r>
      <w:r w:rsidRPr="00C40BE2">
        <w:rPr>
          <w:b/>
          <w:bCs/>
        </w:rPr>
        <w:t xml:space="preserve"> Justice Reinvestment Project </w:t>
      </w:r>
    </w:p>
    <w:p w14:paraId="256FE42B" w14:textId="6C5825AE" w:rsidR="004B1820" w:rsidRDefault="00190D41" w:rsidP="004B1820">
      <w:pPr>
        <w:pStyle w:val="Box3List"/>
        <w:numPr>
          <w:ilvl w:val="0"/>
          <w:numId w:val="0"/>
        </w:numPr>
        <w:ind w:left="284"/>
        <w:rPr>
          <w:vertAlign w:val="superscript"/>
        </w:rPr>
      </w:pPr>
      <w:r w:rsidRPr="007F1EC4">
        <w:t xml:space="preserve">The Justice Reinvestment Project in </w:t>
      </w:r>
      <w:r>
        <w:t xml:space="preserve">Bourke, </w:t>
      </w:r>
      <w:r w:rsidRPr="007F1EC4">
        <w:t>NSW is an innovative example of communities taking control for positive change.</w:t>
      </w:r>
      <w:r>
        <w:t xml:space="preserve"> </w:t>
      </w:r>
      <w:r w:rsidRPr="007F1EC4">
        <w:t xml:space="preserve">In </w:t>
      </w:r>
      <w:r>
        <w:t>2012</w:t>
      </w:r>
      <w:r w:rsidR="007A550C">
        <w:t>,</w:t>
      </w:r>
      <w:r>
        <w:t xml:space="preserve"> </w:t>
      </w:r>
      <w:r w:rsidRPr="00BF22D5">
        <w:t xml:space="preserve">the </w:t>
      </w:r>
      <w:r w:rsidRPr="007F1EC4">
        <w:t xml:space="preserve">Bourke </w:t>
      </w:r>
      <w:r>
        <w:t>Aboriginal C</w:t>
      </w:r>
      <w:r w:rsidRPr="007F1EC4">
        <w:t xml:space="preserve">ommunity </w:t>
      </w:r>
      <w:r>
        <w:t>Working Party</w:t>
      </w:r>
      <w:r w:rsidRPr="00C40BE2">
        <w:t xml:space="preserve"> partnered with</w:t>
      </w:r>
      <w:r>
        <w:rPr>
          <w:color w:val="394E57"/>
          <w:sz w:val="21"/>
          <w:szCs w:val="21"/>
        </w:rPr>
        <w:t xml:space="preserve"> </w:t>
      </w:r>
      <w:r w:rsidRPr="00C40BE2">
        <w:t xml:space="preserve">Just Reinvest NSW </w:t>
      </w:r>
      <w:r w:rsidRPr="007F1EC4">
        <w:t xml:space="preserve">to </w:t>
      </w:r>
      <w:r>
        <w:t xml:space="preserve">develop a </w:t>
      </w:r>
      <w:r w:rsidR="007A550C">
        <w:t>justice r</w:t>
      </w:r>
      <w:r>
        <w:t>einvestment framework to address the challenges facing young people in the community, particularly their involvement in the criminal justice system.</w:t>
      </w:r>
      <w:r w:rsidR="00EE70B0" w:rsidRPr="001B1E65">
        <w:rPr>
          <w:rStyle w:val="FootnoteReference"/>
        </w:rPr>
        <w:footnoteReference w:id="118"/>
      </w:r>
      <w:r>
        <w:rPr>
          <w:vertAlign w:val="superscript"/>
        </w:rPr>
        <w:t xml:space="preserve"> </w:t>
      </w:r>
    </w:p>
    <w:p w14:paraId="78DBCC66" w14:textId="77777777" w:rsidR="00C7451B" w:rsidRDefault="00190D41" w:rsidP="004B1820">
      <w:pPr>
        <w:pStyle w:val="Box3List"/>
        <w:numPr>
          <w:ilvl w:val="0"/>
          <w:numId w:val="0"/>
        </w:numPr>
        <w:ind w:left="284"/>
        <w:rPr>
          <w:vertAlign w:val="superscript"/>
        </w:rPr>
      </w:pPr>
      <w:r w:rsidRPr="00AD2AE6">
        <w:t>Bo</w:t>
      </w:r>
      <w:r>
        <w:t>urke is a small remote town in north-</w:t>
      </w:r>
      <w:r w:rsidRPr="00AD2AE6">
        <w:t>west New South Wales with a population of almost 3,000 peopl</w:t>
      </w:r>
      <w:r>
        <w:t>e. T</w:t>
      </w:r>
      <w:r w:rsidRPr="00AD2AE6">
        <w:t>hirty per cent of the population are Aboriginal.</w:t>
      </w:r>
      <w:r w:rsidRPr="002272FB">
        <w:rPr>
          <w:vertAlign w:val="superscript"/>
        </w:rPr>
        <w:footnoteReference w:id="119"/>
      </w:r>
      <w:r w:rsidRPr="002272FB">
        <w:rPr>
          <w:vertAlign w:val="superscript"/>
        </w:rPr>
        <w:t xml:space="preserve"> </w:t>
      </w:r>
      <w:r w:rsidRPr="00AD2AE6">
        <w:t>It is highly disadvantaged, with high levels of juvenile convictions and adult prison rates, domestic violence, long term unemployment</w:t>
      </w:r>
      <w:r>
        <w:t>,</w:t>
      </w:r>
      <w:r w:rsidRPr="00AD2AE6">
        <w:t xml:space="preserve"> early school leaving, and young people not fully engaged in education or employment.</w:t>
      </w:r>
      <w:r w:rsidRPr="002272FB">
        <w:rPr>
          <w:vertAlign w:val="superscript"/>
        </w:rPr>
        <w:footnoteReference w:id="120"/>
      </w:r>
      <w:r w:rsidRPr="002272FB">
        <w:rPr>
          <w:vertAlign w:val="superscript"/>
        </w:rPr>
        <w:t xml:space="preserve">  </w:t>
      </w:r>
    </w:p>
    <w:p w14:paraId="5B367371" w14:textId="77777777" w:rsidR="004B1820" w:rsidRDefault="00C7451B" w:rsidP="004B1820">
      <w:pPr>
        <w:pStyle w:val="Box3List"/>
        <w:numPr>
          <w:ilvl w:val="0"/>
          <w:numId w:val="0"/>
        </w:numPr>
        <w:ind w:left="284"/>
        <w:rPr>
          <w:vertAlign w:val="superscript"/>
        </w:rPr>
      </w:pPr>
      <w:r w:rsidRPr="004B1820">
        <w:lastRenderedPageBreak/>
        <w:t>A series of community consultations were held, with assistance from the Australian Human Rights Commission, to identify community priorities</w:t>
      </w:r>
      <w:r w:rsidRPr="004B1820">
        <w:rPr>
          <w:rStyle w:val="apple-converted-space"/>
        </w:rPr>
        <w:t> </w:t>
      </w:r>
      <w:r w:rsidRPr="004B1820">
        <w:t>to reduce offending and make the community safer. Obtaining and analysing holistic data sets on community outcomes in Bourke (e.g. housing, education, health, child safety) has also helped informed the goals, measures and strategies for the project. From June 2016 a number of cross-sector initiatives or ‘circuit breakers’</w:t>
      </w:r>
      <w:r w:rsidRPr="004B1820">
        <w:rPr>
          <w:rStyle w:val="apple-converted-space"/>
        </w:rPr>
        <w:t> are being implemented</w:t>
      </w:r>
      <w:r>
        <w:rPr>
          <w:rStyle w:val="apple-converted-space"/>
        </w:rPr>
        <w:t>,</w:t>
      </w:r>
      <w:r w:rsidRPr="004B1820">
        <w:rPr>
          <w:rStyle w:val="apple-converted-space"/>
        </w:rPr>
        <w:t xml:space="preserve"> </w:t>
      </w:r>
      <w:r w:rsidRPr="004B1820">
        <w:t>including addressing breaches of bail, outstanding warrants and the need for a learner driver program in Bourke.</w:t>
      </w:r>
      <w:r w:rsidRPr="001B1E65">
        <w:rPr>
          <w:rStyle w:val="FootnoteReference"/>
        </w:rPr>
        <w:footnoteReference w:id="121"/>
      </w:r>
      <w:r w:rsidRPr="004B1820">
        <w:t xml:space="preserve"> Detailed economic modelling will be undertaken to demonstrate the savings from the initiatives.</w:t>
      </w:r>
    </w:p>
    <w:p w14:paraId="6450D570" w14:textId="77777777" w:rsidR="007A550C" w:rsidRDefault="007A550C" w:rsidP="00664F3C">
      <w:pPr>
        <w:pStyle w:val="Heading3"/>
      </w:pPr>
    </w:p>
    <w:p w14:paraId="2D09CD91" w14:textId="3AF5FE75" w:rsidR="00664F3C" w:rsidRDefault="00664F3C" w:rsidP="00664F3C">
      <w:pPr>
        <w:pStyle w:val="Heading3"/>
      </w:pPr>
      <w:r>
        <w:t>Reduce the overrepre</w:t>
      </w:r>
      <w:r w:rsidR="000006F2">
        <w:t>se</w:t>
      </w:r>
      <w:r>
        <w:t xml:space="preserve">ntation of </w:t>
      </w:r>
      <w:r w:rsidR="000006F2">
        <w:t>Aboriginal</w:t>
      </w:r>
      <w:r w:rsidR="00E72008">
        <w:t xml:space="preserve"> and culturally and linguistically diverse young people</w:t>
      </w:r>
      <w:r>
        <w:t xml:space="preserve"> </w:t>
      </w:r>
      <w:r w:rsidR="007A550C">
        <w:t>in the youth justice system</w:t>
      </w:r>
    </w:p>
    <w:p w14:paraId="285D7693" w14:textId="23854D30" w:rsidR="00D63C68" w:rsidRPr="00D63C68" w:rsidRDefault="00127C49" w:rsidP="00D63C68">
      <w:pPr>
        <w:pStyle w:val="Overviewbox"/>
        <w:numPr>
          <w:ilvl w:val="0"/>
          <w:numId w:val="0"/>
        </w:numPr>
        <w:ind w:left="720" w:hanging="360"/>
        <w:rPr>
          <w:sz w:val="22"/>
          <w:szCs w:val="22"/>
        </w:rPr>
      </w:pPr>
      <w:r w:rsidRPr="00ED2AB3">
        <w:rPr>
          <w:sz w:val="22"/>
        </w:rPr>
        <w:t>Recommendations</w:t>
      </w:r>
    </w:p>
    <w:p w14:paraId="2A6DFBB8" w14:textId="77777777" w:rsidR="00D63C68" w:rsidRDefault="00664F3C" w:rsidP="00F072AE">
      <w:pPr>
        <w:pStyle w:val="Overviewbox"/>
        <w:rPr>
          <w:b w:val="0"/>
          <w:sz w:val="22"/>
          <w:szCs w:val="22"/>
        </w:rPr>
      </w:pPr>
      <w:r w:rsidRPr="00D63C68">
        <w:rPr>
          <w:b w:val="0"/>
          <w:sz w:val="22"/>
          <w:szCs w:val="22"/>
        </w:rPr>
        <w:t>Invest in culturally appropriate interventions developed and delivered in partnership with local communities</w:t>
      </w:r>
      <w:r w:rsidR="00D63C68" w:rsidRPr="00D63C68">
        <w:rPr>
          <w:b w:val="0"/>
          <w:sz w:val="22"/>
          <w:szCs w:val="22"/>
        </w:rPr>
        <w:t>.</w:t>
      </w:r>
    </w:p>
    <w:p w14:paraId="52DA1FBA" w14:textId="585E867A" w:rsidR="00CE2D53" w:rsidRPr="00D63C68" w:rsidRDefault="00CE2D53" w:rsidP="00F072AE">
      <w:pPr>
        <w:pStyle w:val="Overviewbox"/>
        <w:rPr>
          <w:b w:val="0"/>
          <w:sz w:val="22"/>
          <w:szCs w:val="22"/>
        </w:rPr>
      </w:pPr>
      <w:r w:rsidRPr="00D63C68">
        <w:rPr>
          <w:b w:val="0"/>
          <w:sz w:val="22"/>
          <w:szCs w:val="22"/>
        </w:rPr>
        <w:t>Address systemic inadequacies which contribute to the overrepresentation of young people from particular cultural groups in the youth justice system</w:t>
      </w:r>
      <w:r w:rsidR="00D63C68" w:rsidRPr="00D63C68">
        <w:rPr>
          <w:b w:val="0"/>
          <w:sz w:val="22"/>
          <w:szCs w:val="22"/>
        </w:rPr>
        <w:t>.</w:t>
      </w:r>
      <w:r w:rsidRPr="00D63C68">
        <w:rPr>
          <w:b w:val="0"/>
          <w:sz w:val="22"/>
          <w:szCs w:val="22"/>
        </w:rPr>
        <w:t xml:space="preserve"> </w:t>
      </w:r>
    </w:p>
    <w:p w14:paraId="509F8088" w14:textId="02C97DBA" w:rsidR="00664F3C" w:rsidRDefault="00664F3C" w:rsidP="00664F3C">
      <w:r>
        <w:t xml:space="preserve">Aboriginal children and young people continue to be overrepresented in </w:t>
      </w:r>
      <w:r w:rsidR="007A550C">
        <w:t xml:space="preserve">the </w:t>
      </w:r>
      <w:r>
        <w:t>youth justice</w:t>
      </w:r>
      <w:r w:rsidR="007A550C">
        <w:t xml:space="preserve"> system</w:t>
      </w:r>
      <w:r>
        <w:t>. In 2014-15</w:t>
      </w:r>
      <w:r w:rsidR="007A550C">
        <w:t>,</w:t>
      </w:r>
      <w:r>
        <w:t xml:space="preserve"> Aboriginal young people in Victoria were 11 times more likely to be on youth justice supervision </w:t>
      </w:r>
      <w:r w:rsidR="007A550C">
        <w:t xml:space="preserve">orders </w:t>
      </w:r>
      <w:r>
        <w:t>and 12 times more likely to be on detention</w:t>
      </w:r>
      <w:r w:rsidR="00C60678">
        <w:t xml:space="preserve"> than non-aboriginal young people</w:t>
      </w:r>
      <w:r>
        <w:t>.</w:t>
      </w:r>
      <w:r w:rsidRPr="006910C3">
        <w:rPr>
          <w:rStyle w:val="FootnoteReference"/>
          <w:rFonts w:asciiTheme="minorBidi" w:hAnsiTheme="minorBidi" w:cstheme="minorBidi"/>
          <w:szCs w:val="22"/>
        </w:rPr>
        <w:footnoteReference w:id="122"/>
      </w:r>
      <w:r w:rsidRPr="006910C3">
        <w:rPr>
          <w:rFonts w:asciiTheme="minorBidi" w:hAnsiTheme="minorBidi" w:cstheme="minorBidi"/>
          <w:szCs w:val="22"/>
        </w:rPr>
        <w:t xml:space="preserve"> </w:t>
      </w:r>
      <w:r w:rsidRPr="00CB3B62">
        <w:t>Maori and Pacific Islander</w:t>
      </w:r>
      <w:r>
        <w:t xml:space="preserve"> young people and young people from culturally and lingu</w:t>
      </w:r>
      <w:r w:rsidR="0054053D">
        <w:t>istically divers</w:t>
      </w:r>
      <w:r w:rsidR="000744E5">
        <w:t xml:space="preserve">e </w:t>
      </w:r>
      <w:r w:rsidR="0054053D">
        <w:t>communities, particularly</w:t>
      </w:r>
      <w:r w:rsidR="000744E5">
        <w:t xml:space="preserve"> from Sudan</w:t>
      </w:r>
      <w:r w:rsidR="00C60678">
        <w:t>,</w:t>
      </w:r>
      <w:r w:rsidR="00C72059">
        <w:t xml:space="preserve"> are also disproportionately likely to come in contact with the youth justice system</w:t>
      </w:r>
      <w:r>
        <w:t>.</w:t>
      </w:r>
      <w:r w:rsidR="00EC6537">
        <w:rPr>
          <w:rStyle w:val="FootnoteReference"/>
        </w:rPr>
        <w:footnoteReference w:id="123"/>
      </w:r>
    </w:p>
    <w:p w14:paraId="552D9CCC" w14:textId="7029AB01" w:rsidR="00664F3C" w:rsidRPr="00C60678" w:rsidRDefault="000744E5" w:rsidP="00C60678">
      <w:r w:rsidRPr="00C60678">
        <w:t xml:space="preserve">The </w:t>
      </w:r>
      <w:r w:rsidR="007A550C">
        <w:t>over</w:t>
      </w:r>
      <w:r w:rsidRPr="00C60678">
        <w:t xml:space="preserve">representation of specific groups is </w:t>
      </w:r>
      <w:r w:rsidR="000C28B8">
        <w:t xml:space="preserve">not </w:t>
      </w:r>
      <w:r w:rsidR="007A550C">
        <w:t>caused by their</w:t>
      </w:r>
      <w:r w:rsidRPr="00C60678">
        <w:t xml:space="preserve"> ethnicity but </w:t>
      </w:r>
      <w:r w:rsidR="007A550C">
        <w:t>by the</w:t>
      </w:r>
      <w:r w:rsidR="00C72059" w:rsidRPr="00C60678">
        <w:t xml:space="preserve"> </w:t>
      </w:r>
      <w:r w:rsidRPr="00C60678">
        <w:t xml:space="preserve">social </w:t>
      </w:r>
      <w:r w:rsidR="007A550C">
        <w:t xml:space="preserve">and economic </w:t>
      </w:r>
      <w:r w:rsidRPr="00C60678">
        <w:t>disadvantage</w:t>
      </w:r>
      <w:r w:rsidR="007A550C">
        <w:t xml:space="preserve"> their communities experience</w:t>
      </w:r>
      <w:r w:rsidRPr="00C60678">
        <w:t>.</w:t>
      </w:r>
      <w:r w:rsidRPr="00C60678">
        <w:rPr>
          <w:vertAlign w:val="superscript"/>
        </w:rPr>
        <w:footnoteReference w:id="124"/>
      </w:r>
      <w:r w:rsidR="00CE2D53" w:rsidRPr="00C60678">
        <w:rPr>
          <w:vertAlign w:val="superscript"/>
        </w:rPr>
        <w:t xml:space="preserve"> </w:t>
      </w:r>
      <w:r w:rsidR="00CE2D53" w:rsidRPr="00C60678">
        <w:t xml:space="preserve">For instance, they </w:t>
      </w:r>
      <w:r w:rsidR="002D0930">
        <w:t>often</w:t>
      </w:r>
      <w:r w:rsidR="00CE2D53" w:rsidRPr="00C60678">
        <w:t xml:space="preserve"> </w:t>
      </w:r>
      <w:r w:rsidR="00C72059" w:rsidRPr="00C60678">
        <w:t>face</w:t>
      </w:r>
      <w:r w:rsidR="00CE2D53" w:rsidRPr="00C60678">
        <w:t xml:space="preserve"> cultural</w:t>
      </w:r>
      <w:r w:rsidR="00D63C68">
        <w:t>,</w:t>
      </w:r>
      <w:r w:rsidR="00CE2D53" w:rsidRPr="00C60678">
        <w:t xml:space="preserve"> structural and service-related barriers </w:t>
      </w:r>
      <w:r w:rsidR="002D0930">
        <w:t>making</w:t>
      </w:r>
      <w:r w:rsidR="00CE2D53" w:rsidRPr="00C60678">
        <w:t xml:space="preserve"> it more difficult to access services</w:t>
      </w:r>
      <w:r w:rsidR="002D0930">
        <w:t>. These communities commonly</w:t>
      </w:r>
      <w:r w:rsidR="00CE2D53" w:rsidRPr="00C60678">
        <w:t xml:space="preserve"> experience racism and discrimination, economic and social exclusion, disrupted education, lack of awareness of the law</w:t>
      </w:r>
      <w:r w:rsidR="002D0930">
        <w:t>,</w:t>
      </w:r>
      <w:r w:rsidR="00CE2D53" w:rsidRPr="00C60678">
        <w:rPr>
          <w:vertAlign w:val="superscript"/>
        </w:rPr>
        <w:footnoteReference w:id="125"/>
      </w:r>
      <w:r w:rsidR="00CE2D53" w:rsidRPr="00C60678">
        <w:rPr>
          <w:vertAlign w:val="superscript"/>
        </w:rPr>
        <w:t xml:space="preserve"> </w:t>
      </w:r>
      <w:r w:rsidR="00D63C68">
        <w:t>and</w:t>
      </w:r>
      <w:r w:rsidR="00A62942" w:rsidRPr="00C60678">
        <w:t xml:space="preserve"> experience </w:t>
      </w:r>
      <w:r w:rsidR="00CE2D53" w:rsidRPr="00C60678">
        <w:t xml:space="preserve">intergenerational trauma. </w:t>
      </w:r>
      <w:r w:rsidR="00EC6537" w:rsidRPr="00C60678">
        <w:t xml:space="preserve">Young people from culturally and linguistically diverse backgrounds report feeling hopeless, disconnected </w:t>
      </w:r>
      <w:r w:rsidR="00D63C68">
        <w:t xml:space="preserve">and </w:t>
      </w:r>
      <w:r w:rsidR="00EC6537" w:rsidRPr="00C60678">
        <w:t xml:space="preserve">‘locked out’ from </w:t>
      </w:r>
      <w:r w:rsidR="002D0930">
        <w:t>the wider</w:t>
      </w:r>
      <w:r w:rsidR="00EC6537" w:rsidRPr="00C60678">
        <w:t xml:space="preserve"> community.</w:t>
      </w:r>
      <w:r w:rsidR="00EC6537" w:rsidRPr="00C60678">
        <w:rPr>
          <w:vertAlign w:val="superscript"/>
        </w:rPr>
        <w:footnoteReference w:id="126"/>
      </w:r>
      <w:r w:rsidR="00EC6537" w:rsidRPr="00C60678">
        <w:rPr>
          <w:vertAlign w:val="superscript"/>
        </w:rPr>
        <w:t xml:space="preserve"> </w:t>
      </w:r>
      <w:r w:rsidRPr="00C60678">
        <w:t xml:space="preserve">Focus groups with Sudanese and </w:t>
      </w:r>
      <w:r w:rsidRPr="00C60678">
        <w:lastRenderedPageBreak/>
        <w:t xml:space="preserve">Pacific Islander young people </w:t>
      </w:r>
      <w:r w:rsidR="00C7451B">
        <w:t>identify</w:t>
      </w:r>
      <w:r w:rsidRPr="00C60678">
        <w:t xml:space="preserve"> they </w:t>
      </w:r>
      <w:r w:rsidR="00C7451B">
        <w:t>experience</w:t>
      </w:r>
      <w:r w:rsidRPr="00C60678">
        <w:t xml:space="preserve"> negative impacts </w:t>
      </w:r>
      <w:r w:rsidR="00C7451B">
        <w:t>from</w:t>
      </w:r>
      <w:r w:rsidRPr="00C60678">
        <w:t xml:space="preserve"> racism</w:t>
      </w:r>
      <w:r w:rsidR="00C60678">
        <w:t>.</w:t>
      </w:r>
      <w:r w:rsidRPr="00C60678">
        <w:rPr>
          <w:vertAlign w:val="superscript"/>
        </w:rPr>
        <w:footnoteReference w:id="127"/>
      </w:r>
      <w:r w:rsidR="00EC6537" w:rsidRPr="00C60678">
        <w:t xml:space="preserve"> </w:t>
      </w:r>
      <w:r w:rsidR="00CE2D53" w:rsidRPr="00C60678">
        <w:t xml:space="preserve">Addressing </w:t>
      </w:r>
      <w:r w:rsidR="00664F3C" w:rsidRPr="00C60678">
        <w:t xml:space="preserve">systemic </w:t>
      </w:r>
      <w:r w:rsidR="002D0930">
        <w:t>barriers and discrimination</w:t>
      </w:r>
      <w:r w:rsidR="00664F3C" w:rsidRPr="00C60678">
        <w:t xml:space="preserve"> </w:t>
      </w:r>
      <w:r w:rsidR="00CE2D53" w:rsidRPr="00C60678">
        <w:t>faced by young people from particular cultural groups can help reduce their</w:t>
      </w:r>
      <w:r w:rsidR="00664F3C" w:rsidRPr="00C60678">
        <w:t xml:space="preserve"> overrepresentation </w:t>
      </w:r>
      <w:r w:rsidR="00CE2D53" w:rsidRPr="00C60678">
        <w:t>in the youth justice system.</w:t>
      </w:r>
    </w:p>
    <w:p w14:paraId="28C539E7" w14:textId="0B956C37" w:rsidR="00C7451B" w:rsidRDefault="002D0930" w:rsidP="00C72059">
      <w:r>
        <w:t>To reduce involvement in the youth justice system,</w:t>
      </w:r>
      <w:r w:rsidR="00664F3C">
        <w:t xml:space="preserve"> Aboriginal and culturally diverse groups</w:t>
      </w:r>
      <w:r w:rsidR="00664F3C" w:rsidRPr="003D32A3">
        <w:t xml:space="preserve"> </w:t>
      </w:r>
      <w:r>
        <w:t>require tailored strategies to</w:t>
      </w:r>
      <w:r w:rsidR="00664F3C">
        <w:t xml:space="preserve"> address the</w:t>
      </w:r>
      <w:r>
        <w:t>ir distinct</w:t>
      </w:r>
      <w:r w:rsidR="00CE2D53">
        <w:t xml:space="preserve"> risk-factors</w:t>
      </w:r>
      <w:r w:rsidR="00C60678">
        <w:t xml:space="preserve"> and</w:t>
      </w:r>
      <w:r w:rsidR="00CE2D53">
        <w:t xml:space="preserve"> </w:t>
      </w:r>
      <w:r>
        <w:t xml:space="preserve">build on their unique </w:t>
      </w:r>
      <w:r w:rsidR="00CE2D53" w:rsidRPr="00335A4A">
        <w:t>strengths</w:t>
      </w:r>
      <w:r w:rsidR="00EC4B13" w:rsidRPr="00335A4A">
        <w:t>.</w:t>
      </w:r>
      <w:r w:rsidR="00664F3C" w:rsidRPr="00335A4A">
        <w:rPr>
          <w:rStyle w:val="FootnoteReference"/>
        </w:rPr>
        <w:footnoteReference w:id="128"/>
      </w:r>
      <w:r w:rsidR="00A62942" w:rsidRPr="00335A4A">
        <w:t xml:space="preserve"> </w:t>
      </w:r>
      <w:r w:rsidR="00C72059" w:rsidRPr="00335A4A">
        <w:t>Th</w:t>
      </w:r>
      <w:r w:rsidR="00D63C68">
        <w:t>e</w:t>
      </w:r>
      <w:r w:rsidR="00C72059" w:rsidRPr="00335A4A">
        <w:t>s</w:t>
      </w:r>
      <w:r w:rsidR="00D63C68">
        <w:t>e</w:t>
      </w:r>
      <w:r w:rsidR="00C72059" w:rsidRPr="00335A4A">
        <w:t xml:space="preserve"> are most effective when they involve </w:t>
      </w:r>
      <w:r w:rsidR="00C72059" w:rsidRPr="00335A4A">
        <w:rPr>
          <w:bCs/>
        </w:rPr>
        <w:t>genuine community involvement in the design and implementation of programs</w:t>
      </w:r>
      <w:r>
        <w:rPr>
          <w:bCs/>
        </w:rPr>
        <w:t xml:space="preserve">, and </w:t>
      </w:r>
      <w:r w:rsidRPr="00335A4A">
        <w:t>encompass family and cultural support</w:t>
      </w:r>
      <w:r w:rsidR="00C72059" w:rsidRPr="00335A4A">
        <w:t>.</w:t>
      </w:r>
      <w:r w:rsidR="00C72059" w:rsidRPr="00335A4A">
        <w:rPr>
          <w:rStyle w:val="FootnoteReference"/>
        </w:rPr>
        <w:t xml:space="preserve"> </w:t>
      </w:r>
      <w:r w:rsidR="00C72059" w:rsidRPr="00335A4A">
        <w:rPr>
          <w:rStyle w:val="FootnoteReference"/>
        </w:rPr>
        <w:footnoteReference w:id="129"/>
      </w:r>
      <w:r w:rsidR="00C72059" w:rsidRPr="00335A4A">
        <w:t xml:space="preserve"> </w:t>
      </w:r>
    </w:p>
    <w:p w14:paraId="275515F3" w14:textId="513147A9" w:rsidR="00C7451B" w:rsidRDefault="00A62942" w:rsidP="00C72059">
      <w:r w:rsidRPr="00335A4A">
        <w:t>For instance</w:t>
      </w:r>
      <w:r w:rsidR="002D0930">
        <w:t>,</w:t>
      </w:r>
      <w:r w:rsidRPr="00335A4A">
        <w:t xml:space="preserve"> </w:t>
      </w:r>
      <w:r w:rsidR="00C7451B">
        <w:t>a joined up strategy to reduce Aboriginal children and young people’s involvement in the youth justice system could comprise:</w:t>
      </w:r>
    </w:p>
    <w:p w14:paraId="0197ED95" w14:textId="6A96EF64" w:rsidR="00C7451B" w:rsidRDefault="00A62942" w:rsidP="00C7451B">
      <w:pPr>
        <w:pStyle w:val="ListParagraph"/>
        <w:numPr>
          <w:ilvl w:val="0"/>
          <w:numId w:val="7"/>
        </w:numPr>
      </w:pPr>
      <w:r w:rsidRPr="00335A4A">
        <w:t>developing cultural program</w:t>
      </w:r>
      <w:r w:rsidR="00D63C68">
        <w:t>s</w:t>
      </w:r>
      <w:r w:rsidRPr="00335A4A">
        <w:t xml:space="preserve"> for Aboriginal children and young people</w:t>
      </w:r>
      <w:r w:rsidR="00335A4A" w:rsidRPr="00335A4A">
        <w:t xml:space="preserve"> </w:t>
      </w:r>
    </w:p>
    <w:p w14:paraId="6799C6F0" w14:textId="3B6AB6BB" w:rsidR="00C7451B" w:rsidRDefault="003F7720" w:rsidP="00C7451B">
      <w:pPr>
        <w:pStyle w:val="ListParagraph"/>
        <w:numPr>
          <w:ilvl w:val="0"/>
          <w:numId w:val="7"/>
        </w:numPr>
      </w:pPr>
      <w:r>
        <w:t xml:space="preserve">building the capacity of </w:t>
      </w:r>
      <w:r w:rsidR="00D63C68">
        <w:t xml:space="preserve">Aboriginal Community Control Organisations </w:t>
      </w:r>
      <w:r>
        <w:t>to develop and implement intensive diversionary strategies</w:t>
      </w:r>
      <w:r>
        <w:rPr>
          <w:rStyle w:val="FootnoteReference"/>
        </w:rPr>
        <w:footnoteReference w:id="130"/>
      </w:r>
    </w:p>
    <w:p w14:paraId="79D724DC" w14:textId="26FF9F1E" w:rsidR="00C7451B" w:rsidRDefault="003A727E" w:rsidP="00C7451B">
      <w:pPr>
        <w:pStyle w:val="ListParagraph"/>
        <w:numPr>
          <w:ilvl w:val="0"/>
          <w:numId w:val="7"/>
        </w:numPr>
      </w:pPr>
      <w:r w:rsidRPr="00335A4A">
        <w:t xml:space="preserve">employing </w:t>
      </w:r>
      <w:proofErr w:type="spellStart"/>
      <w:r w:rsidR="00C72059" w:rsidRPr="00335A4A">
        <w:t>Koorie</w:t>
      </w:r>
      <w:proofErr w:type="spellEnd"/>
      <w:r w:rsidR="00C72059" w:rsidRPr="00335A4A">
        <w:t xml:space="preserve"> youth workers and youth workers from culturally</w:t>
      </w:r>
      <w:r w:rsidR="00C72059">
        <w:t xml:space="preserve"> diverse communities to provide positive role-modelling and mentoring, assertive outreach, </w:t>
      </w:r>
      <w:r w:rsidR="00C7451B">
        <w:t xml:space="preserve">and </w:t>
      </w:r>
      <w:r w:rsidR="00C72059">
        <w:t>recreational programs</w:t>
      </w:r>
      <w:r w:rsidR="000C28B8">
        <w:rPr>
          <w:rStyle w:val="FootnoteReference"/>
        </w:rPr>
        <w:footnoteReference w:id="131"/>
      </w:r>
    </w:p>
    <w:p w14:paraId="5DC7E949" w14:textId="76A66C7E" w:rsidR="00C7451B" w:rsidRDefault="00C7451B" w:rsidP="00C7451B">
      <w:pPr>
        <w:pStyle w:val="ListParagraph"/>
        <w:numPr>
          <w:ilvl w:val="0"/>
          <w:numId w:val="7"/>
        </w:numPr>
      </w:pPr>
      <w:r>
        <w:t>providing</w:t>
      </w:r>
      <w:r w:rsidR="00C72059">
        <w:t xml:space="preserve"> targeted support for problems such as homelessness, mental health and alcohol and other drugs</w:t>
      </w:r>
    </w:p>
    <w:p w14:paraId="24BD74BF" w14:textId="7FE95438" w:rsidR="00C72059" w:rsidRDefault="00A62942" w:rsidP="00ED2AB3">
      <w:pPr>
        <w:pStyle w:val="ListParagraph"/>
        <w:numPr>
          <w:ilvl w:val="0"/>
          <w:numId w:val="7"/>
        </w:numPr>
      </w:pPr>
      <w:proofErr w:type="gramStart"/>
      <w:r>
        <w:t>ensuring</w:t>
      </w:r>
      <w:proofErr w:type="gramEnd"/>
      <w:r>
        <w:t xml:space="preserve"> </w:t>
      </w:r>
      <w:r w:rsidR="00C72059">
        <w:t xml:space="preserve">generalist </w:t>
      </w:r>
      <w:r>
        <w:t xml:space="preserve">interventions are culturally </w:t>
      </w:r>
      <w:r w:rsidR="00C72059">
        <w:t xml:space="preserve">relevant and </w:t>
      </w:r>
      <w:r>
        <w:t xml:space="preserve">safe. </w:t>
      </w:r>
    </w:p>
    <w:p w14:paraId="4462A4BD" w14:textId="77777777" w:rsidR="00C7451B" w:rsidRDefault="00C7451B" w:rsidP="00C7451B">
      <w:pPr>
        <w:pStyle w:val="ListParagraph"/>
        <w:numPr>
          <w:ilvl w:val="0"/>
          <w:numId w:val="0"/>
        </w:numPr>
        <w:ind w:left="644"/>
      </w:pPr>
    </w:p>
    <w:p w14:paraId="52A62001" w14:textId="77777777" w:rsidR="00664F3C" w:rsidRPr="008B7E32" w:rsidRDefault="00664F3C" w:rsidP="00C60678">
      <w:pPr>
        <w:pStyle w:val="Box3List"/>
        <w:numPr>
          <w:ilvl w:val="0"/>
          <w:numId w:val="0"/>
        </w:numPr>
        <w:ind w:left="426"/>
        <w:rPr>
          <w:rStyle w:val="Strong"/>
          <w:bCs w:val="0"/>
        </w:rPr>
      </w:pPr>
      <w:proofErr w:type="spellStart"/>
      <w:r w:rsidRPr="008B7E32">
        <w:rPr>
          <w:rStyle w:val="Strong"/>
          <w:bCs w:val="0"/>
        </w:rPr>
        <w:t>Barreng</w:t>
      </w:r>
      <w:proofErr w:type="spellEnd"/>
      <w:r w:rsidRPr="008B7E32">
        <w:rPr>
          <w:rStyle w:val="Strong"/>
          <w:bCs w:val="0"/>
        </w:rPr>
        <w:t xml:space="preserve"> </w:t>
      </w:r>
      <w:proofErr w:type="spellStart"/>
      <w:r w:rsidRPr="008B7E32">
        <w:rPr>
          <w:rStyle w:val="Strong"/>
          <w:bCs w:val="0"/>
        </w:rPr>
        <w:t>Moorop</w:t>
      </w:r>
      <w:proofErr w:type="spellEnd"/>
      <w:r>
        <w:rPr>
          <w:rStyle w:val="FootnoteReference"/>
          <w:b/>
        </w:rPr>
        <w:footnoteReference w:id="132"/>
      </w:r>
      <w:r w:rsidRPr="008B7E32">
        <w:t> </w:t>
      </w:r>
      <w:r w:rsidRPr="008B7E32">
        <w:rPr>
          <w:rStyle w:val="Strong"/>
          <w:bCs w:val="0"/>
        </w:rPr>
        <w:t xml:space="preserve"> </w:t>
      </w:r>
    </w:p>
    <w:p w14:paraId="4A26B3E8" w14:textId="3EED5BAC" w:rsidR="00664F3C" w:rsidRPr="00A542C3" w:rsidRDefault="00664F3C" w:rsidP="00C60678">
      <w:pPr>
        <w:pStyle w:val="Box3List"/>
        <w:numPr>
          <w:ilvl w:val="0"/>
          <w:numId w:val="0"/>
        </w:numPr>
        <w:ind w:left="426"/>
      </w:pPr>
      <w:proofErr w:type="spellStart"/>
      <w:r w:rsidRPr="008B7E32">
        <w:rPr>
          <w:rStyle w:val="Strong"/>
          <w:b w:val="0"/>
          <w:bCs w:val="0"/>
        </w:rPr>
        <w:t>Barreng</w:t>
      </w:r>
      <w:proofErr w:type="spellEnd"/>
      <w:r w:rsidRPr="008B7E32">
        <w:rPr>
          <w:rStyle w:val="Strong"/>
          <w:b w:val="0"/>
          <w:bCs w:val="0"/>
        </w:rPr>
        <w:t xml:space="preserve"> </w:t>
      </w:r>
      <w:proofErr w:type="spellStart"/>
      <w:r w:rsidRPr="008B7E32">
        <w:rPr>
          <w:rStyle w:val="Strong"/>
          <w:b w:val="0"/>
          <w:bCs w:val="0"/>
        </w:rPr>
        <w:t>Moorop</w:t>
      </w:r>
      <w:proofErr w:type="spellEnd"/>
      <w:r w:rsidRPr="008B7E32">
        <w:rPr>
          <w:rStyle w:val="Strong"/>
          <w:b w:val="0"/>
          <w:bCs w:val="0"/>
        </w:rPr>
        <w:t xml:space="preserve"> is a small </w:t>
      </w:r>
      <w:r w:rsidR="00F35E23">
        <w:rPr>
          <w:rStyle w:val="Strong"/>
          <w:b w:val="0"/>
          <w:bCs w:val="0"/>
        </w:rPr>
        <w:t xml:space="preserve">outreach based </w:t>
      </w:r>
      <w:r w:rsidRPr="008B7E32">
        <w:rPr>
          <w:rStyle w:val="Strong"/>
          <w:b w:val="0"/>
          <w:bCs w:val="0"/>
        </w:rPr>
        <w:t xml:space="preserve">intensive case management program for </w:t>
      </w:r>
      <w:r w:rsidR="00F35E23">
        <w:rPr>
          <w:rStyle w:val="Strong"/>
          <w:b w:val="0"/>
          <w:bCs w:val="0"/>
        </w:rPr>
        <w:t xml:space="preserve">that works with </w:t>
      </w:r>
      <w:r w:rsidRPr="008B7E32">
        <w:rPr>
          <w:rStyle w:val="Strong"/>
          <w:b w:val="0"/>
          <w:bCs w:val="0"/>
        </w:rPr>
        <w:t>Aboriginal children aged 10-14 years ol</w:t>
      </w:r>
      <w:r w:rsidRPr="00A542C3">
        <w:rPr>
          <w:rStyle w:val="Strong"/>
          <w:b w:val="0"/>
          <w:bCs w:val="0"/>
        </w:rPr>
        <w:t>d</w:t>
      </w:r>
      <w:r w:rsidRPr="008B7E32">
        <w:rPr>
          <w:rStyle w:val="Strong"/>
          <w:b w:val="0"/>
          <w:bCs w:val="0"/>
        </w:rPr>
        <w:t xml:space="preserve"> </w:t>
      </w:r>
      <w:r w:rsidRPr="008B7E32">
        <w:t xml:space="preserve">who </w:t>
      </w:r>
      <w:r w:rsidR="00A542C3" w:rsidRPr="00A542C3">
        <w:t xml:space="preserve">have had involvement with </w:t>
      </w:r>
      <w:r w:rsidR="00F35E23">
        <w:t>the youth justice system</w:t>
      </w:r>
      <w:r w:rsidRPr="00A542C3">
        <w:t xml:space="preserve">. </w:t>
      </w:r>
    </w:p>
    <w:p w14:paraId="49D0BA8D" w14:textId="3F9422DC" w:rsidR="00664F3C" w:rsidRPr="008B7E32" w:rsidRDefault="00664F3C" w:rsidP="00C60678">
      <w:pPr>
        <w:pStyle w:val="Box3List"/>
        <w:numPr>
          <w:ilvl w:val="0"/>
          <w:numId w:val="0"/>
        </w:numPr>
        <w:ind w:left="426"/>
      </w:pPr>
      <w:r w:rsidRPr="008B7E32">
        <w:t>The program aims to divert young people away from the justice system by addres</w:t>
      </w:r>
      <w:r>
        <w:t xml:space="preserve">sing the underlying issues contributing to </w:t>
      </w:r>
      <w:r w:rsidRPr="008B7E32">
        <w:t>their offending behaviour. It works with the children, their siblings, families</w:t>
      </w:r>
      <w:r w:rsidR="00A542C3">
        <w:t xml:space="preserve">, </w:t>
      </w:r>
      <w:r w:rsidR="00F35E23">
        <w:t xml:space="preserve">including extended family </w:t>
      </w:r>
      <w:r w:rsidRPr="008B7E32">
        <w:t>and community (where appropriate)</w:t>
      </w:r>
      <w:r w:rsidR="007A7B40">
        <w:t>,</w:t>
      </w:r>
      <w:bookmarkStart w:id="24" w:name="_GoBack"/>
      <w:bookmarkEnd w:id="24"/>
      <w:r w:rsidRPr="008B7E32">
        <w:t xml:space="preserve"> to provide a wraparound, trauma informed response. </w:t>
      </w:r>
    </w:p>
    <w:p w14:paraId="7C312CF9" w14:textId="77777777" w:rsidR="00CB3BE6" w:rsidRDefault="00664F3C" w:rsidP="00C60678">
      <w:pPr>
        <w:pStyle w:val="Box3List"/>
        <w:numPr>
          <w:ilvl w:val="0"/>
          <w:numId w:val="0"/>
        </w:numPr>
        <w:ind w:left="426"/>
      </w:pPr>
      <w:r w:rsidRPr="008B7E32">
        <w:lastRenderedPageBreak/>
        <w:t>It focuses on creating meaningful engagement, building trust and connecting children to community and culture to strengthen their Aboriginal identity, using the family, community and culture as a protective factor. Each child is assessed individually and personalised case and cultural care plans are developed in collaboration with them and their family.</w:t>
      </w:r>
    </w:p>
    <w:p w14:paraId="545961F1" w14:textId="059749E4" w:rsidR="00664F3C" w:rsidRPr="008B7E32" w:rsidRDefault="00664F3C" w:rsidP="00C60678">
      <w:pPr>
        <w:pStyle w:val="Box3List"/>
        <w:numPr>
          <w:ilvl w:val="0"/>
          <w:numId w:val="0"/>
        </w:numPr>
        <w:ind w:left="426"/>
      </w:pPr>
      <w:r w:rsidRPr="008B7E32">
        <w:t xml:space="preserve">Jesuit Social Services delivers the </w:t>
      </w:r>
      <w:proofErr w:type="spellStart"/>
      <w:r w:rsidRPr="008B7E32">
        <w:t>Barreng</w:t>
      </w:r>
      <w:proofErr w:type="spellEnd"/>
      <w:r w:rsidRPr="008B7E32">
        <w:t xml:space="preserve"> </w:t>
      </w:r>
      <w:proofErr w:type="spellStart"/>
      <w:r w:rsidRPr="008B7E32">
        <w:t>Moorop</w:t>
      </w:r>
      <w:proofErr w:type="spellEnd"/>
      <w:r w:rsidRPr="008B7E32">
        <w:t xml:space="preserve"> program in partnership with the Victorian Aboriginal Legal Service (VALS) and the Victorian Aboriginal Child Care Agency (VACCA), in North and West metropolitan regions of Melbourne. </w:t>
      </w:r>
    </w:p>
    <w:p w14:paraId="040F4733" w14:textId="5A13D47A" w:rsidR="00664F3C" w:rsidRPr="000E4425" w:rsidRDefault="00664F3C" w:rsidP="00C60678">
      <w:pPr>
        <w:pStyle w:val="Box3List"/>
        <w:numPr>
          <w:ilvl w:val="0"/>
          <w:numId w:val="0"/>
        </w:numPr>
        <w:ind w:left="426"/>
      </w:pPr>
      <w:r w:rsidRPr="008B7E32">
        <w:t>Since commencing in 201</w:t>
      </w:r>
      <w:r w:rsidR="00F35E23">
        <w:t>4</w:t>
      </w:r>
      <w:r w:rsidRPr="008B7E32">
        <w:t>, the program has assisted 35 Aboriginal children and their families, with feedback from staff and key stakeholders indicating positive outcomes.</w:t>
      </w:r>
      <w:r>
        <w:rPr>
          <w:rStyle w:val="FootnoteReference"/>
        </w:rPr>
        <w:footnoteReference w:id="133"/>
      </w:r>
      <w:r>
        <w:t xml:space="preserve"> </w:t>
      </w:r>
    </w:p>
    <w:p w14:paraId="1756CCF1" w14:textId="77777777" w:rsidR="00C7451B" w:rsidRDefault="00C7451B" w:rsidP="00AF67A1">
      <w:pPr>
        <w:pStyle w:val="Heading3"/>
      </w:pPr>
    </w:p>
    <w:p w14:paraId="49680291" w14:textId="71C22E8D" w:rsidR="008E573F" w:rsidRPr="00CA463C" w:rsidRDefault="00C7451B" w:rsidP="00AF67A1">
      <w:pPr>
        <w:pStyle w:val="Heading3"/>
      </w:pPr>
      <w:r>
        <w:t>Invest in youth mental health and drug and alcohol rehabilitation services</w:t>
      </w:r>
    </w:p>
    <w:p w14:paraId="7800EAB3" w14:textId="5D4E12B7" w:rsidR="00C7451B" w:rsidRPr="000C28B8" w:rsidRDefault="00C7451B" w:rsidP="000C28B8">
      <w:pPr>
        <w:pStyle w:val="Boxlist"/>
        <w:numPr>
          <w:ilvl w:val="0"/>
          <w:numId w:val="0"/>
        </w:numPr>
        <w:ind w:left="709" w:hanging="283"/>
        <w:rPr>
          <w:b/>
        </w:rPr>
      </w:pPr>
      <w:r w:rsidRPr="000C28B8">
        <w:rPr>
          <w:b/>
        </w:rPr>
        <w:t>Recommendation</w:t>
      </w:r>
    </w:p>
    <w:p w14:paraId="3DB6C4A7" w14:textId="37520DDD" w:rsidR="00CA463C" w:rsidRPr="00CA463C" w:rsidRDefault="00C7451B" w:rsidP="000C28B8">
      <w:pPr>
        <w:pStyle w:val="Boxlist"/>
        <w:ind w:left="709" w:hanging="283"/>
      </w:pPr>
      <w:r>
        <w:t xml:space="preserve">Expand access to youth mental health and </w:t>
      </w:r>
      <w:r w:rsidR="002E0643">
        <w:t xml:space="preserve">alcohol and other </w:t>
      </w:r>
      <w:r>
        <w:t>drug rehabilitation services,</w:t>
      </w:r>
      <w:r w:rsidR="004E2C9E">
        <w:t xml:space="preserve"> including residential services</w:t>
      </w:r>
    </w:p>
    <w:p w14:paraId="6DF7C383" w14:textId="3F45D553" w:rsidR="008B49ED" w:rsidRPr="00CA463C" w:rsidRDefault="008B49ED" w:rsidP="001213E5">
      <w:pPr>
        <w:tabs>
          <w:tab w:val="left" w:pos="3900"/>
        </w:tabs>
      </w:pPr>
      <w:r w:rsidRPr="001213E5">
        <w:t xml:space="preserve">Young people entering youth justice facilities often face multiple disadvantage and have complex </w:t>
      </w:r>
      <w:r w:rsidR="00CB0358" w:rsidRPr="001213E5">
        <w:t>issues</w:t>
      </w:r>
      <w:r w:rsidRPr="001213E5">
        <w:t xml:space="preserve">, including mental </w:t>
      </w:r>
      <w:r w:rsidR="008E07F9" w:rsidRPr="001213E5">
        <w:t>illness</w:t>
      </w:r>
      <w:r w:rsidRPr="001213E5">
        <w:t xml:space="preserve">, </w:t>
      </w:r>
      <w:r w:rsidR="00CB0358" w:rsidRPr="001213E5">
        <w:t xml:space="preserve">homelessness, family violence, </w:t>
      </w:r>
      <w:r w:rsidRPr="001213E5">
        <w:t>intellectual disability and drug and alcohol issues. For instance a 2016 report by the ACT Children and Young People commissioner estimates that between 40 and 70 per cent of young people in youth justice across Australia have a mental</w:t>
      </w:r>
      <w:r>
        <w:t xml:space="preserve"> health condition and between 11 and 17 per cent have an intellectual disability.</w:t>
      </w:r>
      <w:r>
        <w:rPr>
          <w:rStyle w:val="FootnoteReference"/>
        </w:rPr>
        <w:footnoteReference w:id="134"/>
      </w:r>
      <w:r>
        <w:t xml:space="preserve">  Research also indicates that up to two thirds of young people seeking alcohol and other drug </w:t>
      </w:r>
      <w:r w:rsidRPr="00CA463C">
        <w:t xml:space="preserve">services are involved with the youth </w:t>
      </w:r>
      <w:r w:rsidR="00D47813">
        <w:t>j</w:t>
      </w:r>
      <w:r w:rsidRPr="00CA463C">
        <w:t>ustice system.</w:t>
      </w:r>
      <w:r w:rsidRPr="00CA463C">
        <w:rPr>
          <w:rStyle w:val="FootnoteReference"/>
        </w:rPr>
        <w:footnoteReference w:id="135"/>
      </w:r>
    </w:p>
    <w:p w14:paraId="743799FA" w14:textId="187260D6" w:rsidR="00AF67A1" w:rsidRPr="00CA463C" w:rsidRDefault="008E07F9" w:rsidP="00CA463C">
      <w:r>
        <w:t>VCOSS members</w:t>
      </w:r>
      <w:r w:rsidR="005F453E">
        <w:t xml:space="preserve"> report</w:t>
      </w:r>
      <w:r>
        <w:t xml:space="preserve"> inadequate services to meet the needs of young people, particularly for alcohol and other</w:t>
      </w:r>
      <w:r>
        <w:rPr>
          <w:color w:val="000000"/>
        </w:rPr>
        <w:t xml:space="preserve"> </w:t>
      </w:r>
      <w:r w:rsidRPr="009511F5">
        <w:rPr>
          <w:color w:val="000000"/>
        </w:rPr>
        <w:t>drug and mental health</w:t>
      </w:r>
      <w:r>
        <w:rPr>
          <w:color w:val="000000"/>
        </w:rPr>
        <w:t xml:space="preserve"> </w:t>
      </w:r>
      <w:proofErr w:type="gramStart"/>
      <w:r>
        <w:rPr>
          <w:color w:val="000000"/>
        </w:rPr>
        <w:t>services.</w:t>
      </w:r>
      <w:r>
        <w:rPr>
          <w:rStyle w:val="FootnoteReference"/>
          <w:color w:val="000000"/>
        </w:rPr>
        <w:footnoteReference w:id="136"/>
      </w:r>
      <w:r w:rsidR="00A72408" w:rsidRPr="00ED2AB3">
        <w:rPr>
          <w:color w:val="000000"/>
          <w:vertAlign w:val="superscript"/>
        </w:rPr>
        <w:t>,</w:t>
      </w:r>
      <w:proofErr w:type="gramEnd"/>
      <w:r w:rsidR="00A72408">
        <w:rPr>
          <w:rStyle w:val="FootnoteReference"/>
          <w:color w:val="000000"/>
        </w:rPr>
        <w:footnoteReference w:id="137"/>
      </w:r>
      <w:r w:rsidR="00A72408">
        <w:rPr>
          <w:color w:val="000000"/>
        </w:rPr>
        <w:t xml:space="preserve"> </w:t>
      </w:r>
      <w:r>
        <w:rPr>
          <w:color w:val="000000"/>
        </w:rPr>
        <w:t xml:space="preserve"> </w:t>
      </w:r>
      <w:r>
        <w:t>Y</w:t>
      </w:r>
      <w:r w:rsidR="00CA463C" w:rsidRPr="00CA463C">
        <w:t>oung people’s involvement in the youth j</w:t>
      </w:r>
      <w:r>
        <w:t xml:space="preserve">ustice system could be reduced </w:t>
      </w:r>
      <w:r w:rsidR="00CA463C" w:rsidRPr="00CA463C">
        <w:t xml:space="preserve">by adequately investing in </w:t>
      </w:r>
      <w:r>
        <w:t>specialis</w:t>
      </w:r>
      <w:r w:rsidR="00CB0358">
        <w:t xml:space="preserve">ed </w:t>
      </w:r>
      <w:r w:rsidR="00CA463C" w:rsidRPr="00CA463C">
        <w:t xml:space="preserve">services to help young people </w:t>
      </w:r>
      <w:r w:rsidR="00D63C68">
        <w:t>access timely support</w:t>
      </w:r>
      <w:r w:rsidR="00CA463C" w:rsidRPr="00CA463C">
        <w:t xml:space="preserve">. In particular, VCOSS members suggest </w:t>
      </w:r>
      <w:r w:rsidR="00AF67A1" w:rsidRPr="00CA463C">
        <w:rPr>
          <w:lang w:val="en-AU"/>
        </w:rPr>
        <w:t xml:space="preserve">creating a </w:t>
      </w:r>
      <w:r w:rsidR="00AF67A1" w:rsidRPr="00CA463C">
        <w:t>secure facility for residential treatment of alcohol and other drug issues for children and young people</w:t>
      </w:r>
      <w:r w:rsidR="00CA463C" w:rsidRPr="00CA463C">
        <w:t>.</w:t>
      </w:r>
    </w:p>
    <w:p w14:paraId="75FA0B97" w14:textId="77777777" w:rsidR="004E2C9E" w:rsidRDefault="004E2C9E">
      <w:pPr>
        <w:spacing w:before="200"/>
        <w:rPr>
          <w:rFonts w:eastAsiaTheme="majorEastAsia" w:cstheme="majorBidi"/>
          <w:b/>
          <w:bCs/>
          <w:color w:val="E36C0A" w:themeColor="accent6" w:themeShade="BF"/>
          <w:sz w:val="32"/>
          <w:szCs w:val="26"/>
        </w:rPr>
      </w:pPr>
      <w:bookmarkStart w:id="25" w:name="_Toc476310202"/>
      <w:r>
        <w:br w:type="page"/>
      </w:r>
    </w:p>
    <w:p w14:paraId="501FF65B" w14:textId="7609EDF0" w:rsidR="00165691" w:rsidRDefault="00521467" w:rsidP="00190D41">
      <w:pPr>
        <w:pStyle w:val="Heading2"/>
      </w:pPr>
      <w:r>
        <w:lastRenderedPageBreak/>
        <w:t xml:space="preserve">Divert young people from </w:t>
      </w:r>
      <w:r w:rsidR="00E72008">
        <w:t xml:space="preserve">the </w:t>
      </w:r>
      <w:r>
        <w:t>youth justice</w:t>
      </w:r>
      <w:r w:rsidR="00E72008">
        <w:t xml:space="preserve"> system</w:t>
      </w:r>
      <w:bookmarkEnd w:id="25"/>
      <w:r>
        <w:t xml:space="preserve"> </w:t>
      </w:r>
    </w:p>
    <w:p w14:paraId="2F5731B9" w14:textId="75697C10" w:rsidR="00C30A78" w:rsidRPr="00C30A78" w:rsidRDefault="00C30A78" w:rsidP="00C30A78">
      <w:pPr>
        <w:pStyle w:val="Heading3"/>
      </w:pPr>
      <w:r>
        <w:t xml:space="preserve">Invest in </w:t>
      </w:r>
      <w:r w:rsidRPr="00CA5F37">
        <w:t>flexible diversion options</w:t>
      </w:r>
      <w:r w:rsidRPr="00C30A78">
        <w:t xml:space="preserve"> </w:t>
      </w:r>
      <w:r w:rsidRPr="00CA5F37">
        <w:t>along the justice continuum</w:t>
      </w:r>
    </w:p>
    <w:p w14:paraId="727234D4" w14:textId="36B6A031" w:rsidR="0003414A" w:rsidRPr="00030B54" w:rsidRDefault="00030B54" w:rsidP="00D47813">
      <w:pPr>
        <w:pStyle w:val="Boxlist"/>
        <w:numPr>
          <w:ilvl w:val="0"/>
          <w:numId w:val="0"/>
        </w:numPr>
        <w:ind w:left="709" w:hanging="283"/>
        <w:rPr>
          <w:b/>
        </w:rPr>
      </w:pPr>
      <w:r w:rsidRPr="00030B54">
        <w:rPr>
          <w:b/>
        </w:rPr>
        <w:t>Recommendation</w:t>
      </w:r>
    </w:p>
    <w:p w14:paraId="38AC9635" w14:textId="61EA9879" w:rsidR="0003414A" w:rsidRDefault="0003414A" w:rsidP="00D47813">
      <w:pPr>
        <w:pStyle w:val="Boxlist"/>
        <w:ind w:left="709" w:hanging="283"/>
      </w:pPr>
      <w:r>
        <w:t xml:space="preserve">Invest </w:t>
      </w:r>
      <w:r w:rsidRPr="00CA5F37">
        <w:t>in a flexible diversion options along the justice continuum</w:t>
      </w:r>
      <w:r>
        <w:t>,</w:t>
      </w:r>
      <w:r w:rsidRPr="00CA5F37">
        <w:t xml:space="preserve"> available equitably across the state</w:t>
      </w:r>
    </w:p>
    <w:p w14:paraId="4B57FAE3" w14:textId="77777777" w:rsidR="003E7585" w:rsidRDefault="003E7585" w:rsidP="0003414A"/>
    <w:p w14:paraId="68FD1FFD" w14:textId="20265E1D" w:rsidR="00155F13" w:rsidRPr="00CA5F37" w:rsidRDefault="00515417" w:rsidP="0003414A">
      <w:r w:rsidRPr="00CA5F37">
        <w:t>D</w:t>
      </w:r>
      <w:r w:rsidR="00155F13" w:rsidRPr="00CA5F37">
        <w:t xml:space="preserve">iversion programs help </w:t>
      </w:r>
      <w:r w:rsidR="0010532D">
        <w:t>young</w:t>
      </w:r>
      <w:r w:rsidRPr="00CA5F37">
        <w:t xml:space="preserve"> people </w:t>
      </w:r>
      <w:r w:rsidR="0010532D">
        <w:t>avoid</w:t>
      </w:r>
      <w:r w:rsidRPr="00CA5F37">
        <w:t xml:space="preserve"> anti-social </w:t>
      </w:r>
      <w:r w:rsidR="0010532D">
        <w:t>conduct</w:t>
      </w:r>
      <w:r w:rsidRPr="00CA5F37">
        <w:t xml:space="preserve"> by </w:t>
      </w:r>
      <w:r w:rsidR="00155F13" w:rsidRPr="00CA5F37">
        <w:t xml:space="preserve">tackling </w:t>
      </w:r>
      <w:r w:rsidRPr="00CA5F37">
        <w:t xml:space="preserve">the </w:t>
      </w:r>
      <w:r w:rsidR="0010532D">
        <w:t>causes of</w:t>
      </w:r>
      <w:r w:rsidRPr="00CA5F37">
        <w:t xml:space="preserve"> their offending</w:t>
      </w:r>
      <w:r w:rsidR="005F453E">
        <w:t>,</w:t>
      </w:r>
      <w:r w:rsidRPr="00CA5F37">
        <w:t xml:space="preserve"> including</w:t>
      </w:r>
      <w:r w:rsidR="00155F13" w:rsidRPr="00CA5F37">
        <w:t xml:space="preserve"> substance use, mental ill-health, </w:t>
      </w:r>
      <w:r w:rsidR="0010532D">
        <w:t xml:space="preserve">and </w:t>
      </w:r>
      <w:r w:rsidR="00155F13" w:rsidRPr="00CA5F37">
        <w:t>educational disengagement.</w:t>
      </w:r>
      <w:r w:rsidR="00155F13" w:rsidRPr="00CA5F37">
        <w:rPr>
          <w:vertAlign w:val="superscript"/>
        </w:rPr>
        <w:footnoteReference w:id="138"/>
      </w:r>
      <w:r w:rsidR="0070088B" w:rsidRPr="00CA5F37">
        <w:rPr>
          <w:vertAlign w:val="superscript"/>
        </w:rPr>
        <w:t xml:space="preserve"> </w:t>
      </w:r>
      <w:r w:rsidR="00F4393F" w:rsidRPr="00CA5F37">
        <w:t xml:space="preserve">Diversion </w:t>
      </w:r>
      <w:r w:rsidR="00C7451B">
        <w:t>programs</w:t>
      </w:r>
      <w:r w:rsidR="00F4393F" w:rsidRPr="00CA5F37">
        <w:t xml:space="preserve"> </w:t>
      </w:r>
      <w:r w:rsidR="00C7451B">
        <w:t>hold</w:t>
      </w:r>
      <w:r w:rsidR="00B667A7">
        <w:t xml:space="preserve"> young people accountable for their </w:t>
      </w:r>
      <w:r w:rsidR="00C7451B">
        <w:t>behavior,</w:t>
      </w:r>
      <w:r w:rsidR="00F4393F" w:rsidRPr="00CA5F37">
        <w:t xml:space="preserve"> but </w:t>
      </w:r>
      <w:r w:rsidR="0010532D">
        <w:t>allow</w:t>
      </w:r>
      <w:r w:rsidR="00F4393F" w:rsidRPr="00CA5F37">
        <w:t xml:space="preserve"> them to avoid the stigma </w:t>
      </w:r>
      <w:r w:rsidR="00C7451B">
        <w:t>of</w:t>
      </w:r>
      <w:r w:rsidR="00F4393F" w:rsidRPr="00CA5F37">
        <w:t xml:space="preserve"> a criminal record</w:t>
      </w:r>
      <w:r w:rsidR="00C7451B">
        <w:t>,</w:t>
      </w:r>
      <w:r w:rsidR="00F4393F" w:rsidRPr="00CA5F37">
        <w:t xml:space="preserve"> which can </w:t>
      </w:r>
      <w:r w:rsidR="00C7451B">
        <w:t xml:space="preserve">entrench </w:t>
      </w:r>
      <w:r w:rsidR="00F4393F" w:rsidRPr="00CA5F37">
        <w:t>offending behaviour</w:t>
      </w:r>
      <w:r w:rsidR="00C7451B" w:rsidRPr="00C7451B">
        <w:t xml:space="preserve"> </w:t>
      </w:r>
      <w:r w:rsidR="00C7451B">
        <w:t>patterns.</w:t>
      </w:r>
    </w:p>
    <w:p w14:paraId="0AB0B444" w14:textId="0C3E9D2F" w:rsidR="00155F13" w:rsidRPr="00ED2AB3" w:rsidRDefault="00515417" w:rsidP="0003414A">
      <w:r w:rsidRPr="00CA5F37">
        <w:t>Youth diversion programs offer an effective alternative to detention</w:t>
      </w:r>
      <w:r>
        <w:t xml:space="preserve">, and </w:t>
      </w:r>
      <w:r w:rsidR="0010532D">
        <w:t>reduce</w:t>
      </w:r>
      <w:r w:rsidR="00155F13" w:rsidRPr="00155F13">
        <w:t xml:space="preserve"> reoffend</w:t>
      </w:r>
      <w:r w:rsidR="0010532D">
        <w:t>ing</w:t>
      </w:r>
      <w:r w:rsidR="00155F13" w:rsidRPr="00155F13">
        <w:t xml:space="preserve">. </w:t>
      </w:r>
      <w:r w:rsidR="00155F13">
        <w:t>For instance, a</w:t>
      </w:r>
      <w:r w:rsidR="00155F13" w:rsidRPr="00155F13">
        <w:t>lmost 90 per cent of young people who completed the ROPES diversionary course for first offenders</w:t>
      </w:r>
      <w:r w:rsidR="0010532D">
        <w:t>,</w:t>
      </w:r>
      <w:r w:rsidR="00155F13" w:rsidRPr="00155F13">
        <w:t xml:space="preserve"> and 61 per cent who completed the Right Step eight-week program</w:t>
      </w:r>
      <w:r w:rsidR="0010532D">
        <w:t>,</w:t>
      </w:r>
      <w:r w:rsidR="00155F13" w:rsidRPr="00155F13">
        <w:t xml:space="preserve"> did not reoffend within two years, compared to 43 per cent of young people detained in a youth justice facility</w:t>
      </w:r>
      <w:r w:rsidR="00155F13" w:rsidRPr="00F4393F">
        <w:t>.</w:t>
      </w:r>
      <w:r w:rsidRPr="00F4393F">
        <w:rPr>
          <w:vertAlign w:val="superscript"/>
        </w:rPr>
        <w:footnoteReference w:id="139"/>
      </w:r>
      <w:r w:rsidRPr="00F4393F">
        <w:rPr>
          <w:vertAlign w:val="superscript"/>
        </w:rPr>
        <w:t xml:space="preserve"> </w:t>
      </w:r>
      <w:r w:rsidR="0010532D">
        <w:t>Youth diversion programs are</w:t>
      </w:r>
      <w:r w:rsidR="00155F13" w:rsidRPr="00F4393F">
        <w:t xml:space="preserve"> also cost-effective. Community-based diversion</w:t>
      </w:r>
      <w:r w:rsidR="00A627F1" w:rsidRPr="00F4393F">
        <w:t>, such as Youth Justice Conferencing,</w:t>
      </w:r>
      <w:r w:rsidR="00155F13" w:rsidRPr="00F4393F">
        <w:t xml:space="preserve"> costs </w:t>
      </w:r>
      <w:r w:rsidR="0070088B" w:rsidRPr="00F4393F">
        <w:t xml:space="preserve">around </w:t>
      </w:r>
      <w:r w:rsidR="00155F13" w:rsidRPr="00F4393F">
        <w:t xml:space="preserve">10 per cent of the amount required to detain someone in a </w:t>
      </w:r>
      <w:r w:rsidR="0010532D">
        <w:t>youth</w:t>
      </w:r>
      <w:r w:rsidRPr="00F4393F">
        <w:t xml:space="preserve"> justice </w:t>
      </w:r>
      <w:r w:rsidR="0010532D">
        <w:t>facility</w:t>
      </w:r>
      <w:r w:rsidR="00155F13" w:rsidRPr="00F4393F">
        <w:t>.</w:t>
      </w:r>
      <w:r w:rsidR="00F4393F" w:rsidRPr="00F4393F">
        <w:rPr>
          <w:vertAlign w:val="superscript"/>
        </w:rPr>
        <w:footnoteReference w:id="140"/>
      </w:r>
    </w:p>
    <w:p w14:paraId="16753695" w14:textId="52F0A244" w:rsidR="00C30A78" w:rsidRPr="007D4E11" w:rsidRDefault="00C30A78" w:rsidP="00ED2AB3">
      <w:pPr>
        <w:pStyle w:val="Boxheading"/>
        <w:pBdr>
          <w:top w:val="single" w:sz="48" w:space="1" w:color="FDDBA5"/>
          <w:left w:val="single" w:sz="48" w:space="4" w:color="FDDBA5"/>
          <w:bottom w:val="single" w:sz="48" w:space="1" w:color="FDDBA5"/>
          <w:right w:val="single" w:sz="48" w:space="4" w:color="FDDBA5"/>
          <w:between w:val="single" w:sz="48" w:space="1" w:color="FDDBA5"/>
        </w:pBdr>
        <w:shd w:val="clear" w:color="auto" w:fill="FDDBA5"/>
      </w:pPr>
      <w:r w:rsidRPr="007D4E11">
        <w:t>Youth justice group conferencing</w:t>
      </w:r>
      <w:r w:rsidR="00030B54" w:rsidRPr="00DE3650">
        <w:rPr>
          <w:vertAlign w:val="superscript"/>
        </w:rPr>
        <w:footnoteReference w:id="141"/>
      </w:r>
      <w:r w:rsidR="00030B54" w:rsidRPr="004563C3">
        <w:rPr>
          <w:vertAlign w:val="superscript"/>
        </w:rPr>
        <w:t>,</w:t>
      </w:r>
      <w:r w:rsidR="00030B54" w:rsidRPr="00DE3650">
        <w:rPr>
          <w:vertAlign w:val="superscript"/>
        </w:rPr>
        <w:footnoteReference w:id="142"/>
      </w:r>
    </w:p>
    <w:p w14:paraId="5C610FB3" w14:textId="3FB309B4" w:rsidR="00030B54" w:rsidRDefault="00C30A78" w:rsidP="00ED2AB3">
      <w:pPr>
        <w:pStyle w:val="Boxtext"/>
        <w:pBdr>
          <w:top w:val="single" w:sz="48" w:space="1" w:color="FDDBA5"/>
          <w:left w:val="single" w:sz="48" w:space="4" w:color="FDDBA5"/>
          <w:bottom w:val="single" w:sz="48" w:space="1" w:color="FDDBA5"/>
          <w:right w:val="single" w:sz="48" w:space="4" w:color="FDDBA5"/>
          <w:between w:val="single" w:sz="48" w:space="1" w:color="FDDBA5"/>
        </w:pBdr>
        <w:shd w:val="clear" w:color="auto" w:fill="FDDBA5"/>
      </w:pPr>
      <w:r w:rsidRPr="00DE3650">
        <w:t>The Youth</w:t>
      </w:r>
      <w:r>
        <w:t xml:space="preserve"> Justice Group Conferencing </w:t>
      </w:r>
      <w:r w:rsidRPr="00DE3650">
        <w:t xml:space="preserve">Program is </w:t>
      </w:r>
      <w:r w:rsidR="00075701">
        <w:t>for</w:t>
      </w:r>
      <w:r w:rsidRPr="00DE3650">
        <w:t xml:space="preserve"> young people aged 10-17</w:t>
      </w:r>
      <w:r w:rsidR="0010532D">
        <w:t>,</w:t>
      </w:r>
      <w:r w:rsidRPr="00DE3650">
        <w:t xml:space="preserve"> who have pleaded or been found guilty of an </w:t>
      </w:r>
      <w:r w:rsidRPr="004563C3">
        <w:t xml:space="preserve">offence serious enough </w:t>
      </w:r>
      <w:r w:rsidR="00075701">
        <w:t>for</w:t>
      </w:r>
      <w:r w:rsidRPr="004563C3">
        <w:t xml:space="preserve"> a custodial sentence or a </w:t>
      </w:r>
      <w:r w:rsidR="0010532D">
        <w:t>supervision</w:t>
      </w:r>
      <w:r w:rsidRPr="004563C3">
        <w:t xml:space="preserve"> order. It aims to divert the young person from more intensive supervisory court </w:t>
      </w:r>
      <w:r w:rsidR="00075701">
        <w:t>decisions</w:t>
      </w:r>
      <w:r w:rsidRPr="004563C3">
        <w:t xml:space="preserve">, while also </w:t>
      </w:r>
      <w:r w:rsidR="0010532D">
        <w:t>holding</w:t>
      </w:r>
      <w:r>
        <w:t xml:space="preserve"> them </w:t>
      </w:r>
      <w:r w:rsidR="0010532D">
        <w:t>accountable</w:t>
      </w:r>
      <w:r>
        <w:t xml:space="preserve"> for their offending</w:t>
      </w:r>
      <w:r w:rsidR="0010532D">
        <w:t>,</w:t>
      </w:r>
      <w:r>
        <w:t xml:space="preserve"> and help</w:t>
      </w:r>
      <w:r w:rsidR="00075701">
        <w:t>ing</w:t>
      </w:r>
      <w:r>
        <w:t xml:space="preserve"> repair the harm done to</w:t>
      </w:r>
      <w:r w:rsidR="0010532D">
        <w:t xml:space="preserve"> the</w:t>
      </w:r>
      <w:r>
        <w:t xml:space="preserve"> victim and </w:t>
      </w:r>
      <w:r w:rsidR="0010532D">
        <w:t xml:space="preserve">the </w:t>
      </w:r>
      <w:r>
        <w:t xml:space="preserve">community. </w:t>
      </w:r>
    </w:p>
    <w:p w14:paraId="7F94CF21" w14:textId="17534568" w:rsidR="0010532D" w:rsidRDefault="00C30A78" w:rsidP="0010532D">
      <w:pPr>
        <w:pStyle w:val="Boxtext"/>
        <w:pBdr>
          <w:top w:val="single" w:sz="48" w:space="1" w:color="FDDBA5"/>
          <w:left w:val="single" w:sz="48" w:space="4" w:color="FDDBA5"/>
          <w:bottom w:val="single" w:sz="48" w:space="1" w:color="FDDBA5"/>
          <w:right w:val="single" w:sz="48" w:space="4" w:color="FDDBA5"/>
          <w:between w:val="single" w:sz="48" w:space="1" w:color="FDDBA5"/>
        </w:pBdr>
        <w:shd w:val="clear" w:color="auto" w:fill="FDDBA5"/>
      </w:pPr>
      <w:r w:rsidRPr="004563C3">
        <w:t xml:space="preserve">Youth </w:t>
      </w:r>
      <w:r w:rsidR="00030B54" w:rsidRPr="004563C3">
        <w:t>Justice</w:t>
      </w:r>
      <w:r w:rsidRPr="004563C3">
        <w:t xml:space="preserve"> Group </w:t>
      </w:r>
      <w:r w:rsidR="00030B54">
        <w:t>C</w:t>
      </w:r>
      <w:r w:rsidR="00030B54" w:rsidRPr="004563C3">
        <w:t>onferencing</w:t>
      </w:r>
      <w:r>
        <w:t xml:space="preserve"> </w:t>
      </w:r>
      <w:r w:rsidR="0010532D">
        <w:t>uses</w:t>
      </w:r>
      <w:r>
        <w:t xml:space="preserve"> a p</w:t>
      </w:r>
      <w:r w:rsidRPr="004563C3">
        <w:t xml:space="preserve">roblem-solving approach to offending based on </w:t>
      </w:r>
      <w:r>
        <w:t>restorative justice</w:t>
      </w:r>
      <w:r w:rsidR="0010532D" w:rsidRPr="004563C3">
        <w:t xml:space="preserve"> </w:t>
      </w:r>
      <w:r w:rsidR="0010532D">
        <w:t>principles</w:t>
      </w:r>
      <w:r>
        <w:t>. It</w:t>
      </w:r>
      <w:r w:rsidRPr="00DE3650">
        <w:t xml:space="preserve"> brings together people directly involved or affected by an offence, including the young person and their family, the victims</w:t>
      </w:r>
      <w:r>
        <w:t xml:space="preserve"> and their </w:t>
      </w:r>
      <w:r w:rsidR="0010532D">
        <w:t>support people</w:t>
      </w:r>
      <w:r>
        <w:t>, legal representative</w:t>
      </w:r>
      <w:r w:rsidR="0010532D">
        <w:t>s</w:t>
      </w:r>
      <w:r>
        <w:t xml:space="preserve"> and </w:t>
      </w:r>
      <w:r w:rsidR="0010532D">
        <w:t xml:space="preserve">the </w:t>
      </w:r>
      <w:r w:rsidRPr="00DE3650">
        <w:t>police</w:t>
      </w:r>
      <w:r>
        <w:t>.</w:t>
      </w:r>
    </w:p>
    <w:p w14:paraId="5EAAE5BE" w14:textId="75159AA7" w:rsidR="00D47813" w:rsidRDefault="00C30A78" w:rsidP="00ED2AB3">
      <w:pPr>
        <w:pStyle w:val="Boxtext"/>
        <w:pBdr>
          <w:top w:val="single" w:sz="48" w:space="1" w:color="FDDBA5"/>
          <w:left w:val="single" w:sz="48" w:space="4" w:color="FDDBA5"/>
          <w:bottom w:val="single" w:sz="48" w:space="1" w:color="FDDBA5"/>
          <w:right w:val="single" w:sz="48" w:space="4" w:color="FDDBA5"/>
          <w:between w:val="single" w:sz="48" w:space="1" w:color="FDDBA5"/>
        </w:pBdr>
        <w:shd w:val="clear" w:color="auto" w:fill="FDDBA5"/>
      </w:pPr>
      <w:r>
        <w:t xml:space="preserve">With </w:t>
      </w:r>
      <w:r w:rsidR="0010532D">
        <w:t>a</w:t>
      </w:r>
      <w:r>
        <w:t xml:space="preserve"> </w:t>
      </w:r>
      <w:r w:rsidR="005F453E">
        <w:t>qualified conven</w:t>
      </w:r>
      <w:r>
        <w:t xml:space="preserve">or, the </w:t>
      </w:r>
      <w:r w:rsidR="0010532D">
        <w:t xml:space="preserve">group </w:t>
      </w:r>
      <w:r>
        <w:t>conference aims</w:t>
      </w:r>
      <w:r w:rsidRPr="00DE3650">
        <w:t xml:space="preserve"> </w:t>
      </w:r>
      <w:r w:rsidR="0010532D">
        <w:t>for</w:t>
      </w:r>
      <w:r w:rsidRPr="00DE3650">
        <w:t xml:space="preserve"> the young </w:t>
      </w:r>
      <w:r w:rsidR="0010532D">
        <w:t xml:space="preserve">person to understand </w:t>
      </w:r>
      <w:r w:rsidRPr="00DE3650">
        <w:t>the impact of their offending</w:t>
      </w:r>
      <w:r w:rsidR="0010532D">
        <w:t>,</w:t>
      </w:r>
      <w:r w:rsidR="005F453E">
        <w:t xml:space="preserve"> and </w:t>
      </w:r>
      <w:r w:rsidR="0010532D">
        <w:t>identif</w:t>
      </w:r>
      <w:r>
        <w:t xml:space="preserve">y </w:t>
      </w:r>
      <w:r w:rsidR="0010532D">
        <w:t>actions</w:t>
      </w:r>
      <w:r w:rsidRPr="00DE3650">
        <w:t xml:space="preserve"> to repair </w:t>
      </w:r>
      <w:r w:rsidR="005F453E">
        <w:t xml:space="preserve">the </w:t>
      </w:r>
      <w:r w:rsidRPr="00DE3650">
        <w:t>harm caused. An outcome plan is prepared setting out the agreements made</w:t>
      </w:r>
      <w:r w:rsidR="0010532D">
        <w:t>,</w:t>
      </w:r>
      <w:r w:rsidRPr="00DE3650">
        <w:t xml:space="preserve"> </w:t>
      </w:r>
      <w:r w:rsidR="0010532D">
        <w:t>which</w:t>
      </w:r>
      <w:r w:rsidRPr="00DE3650">
        <w:t xml:space="preserve"> is presented to the Magistrate </w:t>
      </w:r>
      <w:r w:rsidR="0010532D">
        <w:t xml:space="preserve">for </w:t>
      </w:r>
      <w:r w:rsidRPr="00DE3650">
        <w:t>consider</w:t>
      </w:r>
      <w:r w:rsidR="0010532D">
        <w:t>ation during</w:t>
      </w:r>
      <w:r w:rsidRPr="00DE3650">
        <w:t xml:space="preserve"> sentencing</w:t>
      </w:r>
      <w:r w:rsidR="005F453E">
        <w:t>.</w:t>
      </w:r>
    </w:p>
    <w:p w14:paraId="217BFE13" w14:textId="7DACF98B" w:rsidR="00C30A78" w:rsidRPr="00AE771E" w:rsidRDefault="00C30A78" w:rsidP="00ED2AB3">
      <w:pPr>
        <w:pStyle w:val="Boxtext"/>
        <w:pBdr>
          <w:top w:val="single" w:sz="48" w:space="1" w:color="FDDBA5"/>
          <w:left w:val="single" w:sz="48" w:space="4" w:color="FDDBA5"/>
          <w:bottom w:val="single" w:sz="48" w:space="1" w:color="FDDBA5"/>
          <w:right w:val="single" w:sz="48" w:space="4" w:color="FDDBA5"/>
          <w:between w:val="single" w:sz="48" w:space="1" w:color="FDDBA5"/>
        </w:pBdr>
        <w:shd w:val="clear" w:color="auto" w:fill="FDDBA5"/>
      </w:pPr>
      <w:r>
        <w:lastRenderedPageBreak/>
        <w:t xml:space="preserve">An independent evaluation of the program in 2010 found </w:t>
      </w:r>
      <w:r w:rsidR="0010532D">
        <w:t xml:space="preserve">the </w:t>
      </w:r>
      <w:r>
        <w:t xml:space="preserve">young people involved were much less likely to have reoffended within 12 to 24 months than people who received </w:t>
      </w:r>
      <w:r w:rsidR="005F453E">
        <w:t>a</w:t>
      </w:r>
      <w:r>
        <w:t xml:space="preserve"> probation</w:t>
      </w:r>
      <w:r w:rsidR="005F453E">
        <w:t xml:space="preserve"> order</w:t>
      </w:r>
      <w:r>
        <w:t xml:space="preserve"> or </w:t>
      </w:r>
      <w:r w:rsidR="005F453E">
        <w:t>a y</w:t>
      </w:r>
      <w:r>
        <w:t>outh supervision order.</w:t>
      </w:r>
      <w:r w:rsidRPr="00043A9F">
        <w:rPr>
          <w:rStyle w:val="FootnoteReference"/>
        </w:rPr>
        <w:footnoteReference w:id="143"/>
      </w:r>
      <w:r w:rsidRPr="00043A9F">
        <w:t xml:space="preserve"> </w:t>
      </w:r>
      <w:r w:rsidR="00F000E3">
        <w:t>A</w:t>
      </w:r>
      <w:r>
        <w:t xml:space="preserve">ll victims and family members surveyed indicated they were satisfied with the process, and the program </w:t>
      </w:r>
      <w:r w:rsidR="00F000E3">
        <w:t xml:space="preserve">is estimated to </w:t>
      </w:r>
      <w:r>
        <w:t>save at least $1.21 for every dollar invested.</w:t>
      </w:r>
    </w:p>
    <w:p w14:paraId="55567E97" w14:textId="77777777" w:rsidR="0010532D" w:rsidRDefault="0010532D" w:rsidP="0003414A"/>
    <w:p w14:paraId="12619399" w14:textId="1385353D" w:rsidR="0070088B" w:rsidRDefault="0036654F" w:rsidP="0003414A">
      <w:r w:rsidRPr="00CA5F37">
        <w:t xml:space="preserve">Victoria has </w:t>
      </w:r>
      <w:r w:rsidR="00155F13" w:rsidRPr="00CA5F37">
        <w:t xml:space="preserve">a </w:t>
      </w:r>
      <w:r w:rsidR="00075701">
        <w:t>number</w:t>
      </w:r>
      <w:r w:rsidR="00155F13" w:rsidRPr="00CA5F37">
        <w:t xml:space="preserve"> of</w:t>
      </w:r>
      <w:r w:rsidRPr="00CA5F37">
        <w:t xml:space="preserve"> effective and </w:t>
      </w:r>
      <w:r w:rsidRPr="005F453E">
        <w:t xml:space="preserve">promising </w:t>
      </w:r>
      <w:r w:rsidR="00475801" w:rsidRPr="005F453E">
        <w:t>pre-</w:t>
      </w:r>
      <w:r w:rsidR="0003414A" w:rsidRPr="005F453E">
        <w:t xml:space="preserve">court, </w:t>
      </w:r>
      <w:r w:rsidR="00475801" w:rsidRPr="005F453E">
        <w:t>pre-</w:t>
      </w:r>
      <w:r w:rsidR="0003414A" w:rsidRPr="005F453E">
        <w:t xml:space="preserve"> and post</w:t>
      </w:r>
      <w:r w:rsidR="00075701">
        <w:t>-</w:t>
      </w:r>
      <w:r w:rsidR="0003414A" w:rsidRPr="005F453E">
        <w:t>plea</w:t>
      </w:r>
      <w:r w:rsidR="00475801" w:rsidRPr="005F453E">
        <w:rPr>
          <w:rFonts w:ascii="GillSansStd-Light" w:hAnsi="GillSansStd-Light" w:cs="GillSansStd-Light"/>
          <w:sz w:val="21"/>
          <w:szCs w:val="21"/>
          <w:lang w:val="en-AU"/>
        </w:rPr>
        <w:t xml:space="preserve"> </w:t>
      </w:r>
      <w:r w:rsidR="00075701">
        <w:t>diversion</w:t>
      </w:r>
      <w:r w:rsidRPr="005F453E">
        <w:t xml:space="preserve"> programs</w:t>
      </w:r>
      <w:r w:rsidR="00155F13" w:rsidRPr="005F453E">
        <w:t xml:space="preserve">, </w:t>
      </w:r>
      <w:r w:rsidR="00075701">
        <w:t>but</w:t>
      </w:r>
      <w:r w:rsidRPr="005F453E">
        <w:t xml:space="preserve"> </w:t>
      </w:r>
      <w:r w:rsidR="0070088B" w:rsidRPr="005F453E">
        <w:t xml:space="preserve">these </w:t>
      </w:r>
      <w:r w:rsidR="00075701">
        <w:t>have</w:t>
      </w:r>
      <w:r w:rsidR="0070088B" w:rsidRPr="005F453E">
        <w:t xml:space="preserve"> limited </w:t>
      </w:r>
      <w:r w:rsidR="00172C17" w:rsidRPr="005F453E">
        <w:t>availability</w:t>
      </w:r>
      <w:r w:rsidR="009734F5" w:rsidRPr="005F453E">
        <w:t xml:space="preserve">, </w:t>
      </w:r>
      <w:r w:rsidR="00075701">
        <w:t xml:space="preserve">are </w:t>
      </w:r>
      <w:r w:rsidR="009734F5" w:rsidRPr="005F453E">
        <w:t>not offered consistently</w:t>
      </w:r>
      <w:r w:rsidR="0070088B" w:rsidRPr="005F453E">
        <w:t xml:space="preserve"> and </w:t>
      </w:r>
      <w:r w:rsidR="00075701">
        <w:t>experience</w:t>
      </w:r>
      <w:r w:rsidR="0070088B" w:rsidRPr="00CA5F37">
        <w:t xml:space="preserve"> funding</w:t>
      </w:r>
      <w:r w:rsidR="00075701">
        <w:t xml:space="preserve"> insecurity.</w:t>
      </w:r>
      <w:r w:rsidR="0099380D" w:rsidRPr="00DE3650">
        <w:rPr>
          <w:vertAlign w:val="superscript"/>
        </w:rPr>
        <w:footnoteReference w:id="144"/>
      </w:r>
      <w:r w:rsidR="0099380D" w:rsidRPr="004563C3">
        <w:rPr>
          <w:vertAlign w:val="superscript"/>
        </w:rPr>
        <w:t>,</w:t>
      </w:r>
      <w:r w:rsidR="00E332F3" w:rsidRPr="00030B54">
        <w:rPr>
          <w:rStyle w:val="FootnoteReference"/>
          <w:szCs w:val="22"/>
          <w:lang w:val="en-AU"/>
        </w:rPr>
        <w:footnoteReference w:id="145"/>
      </w:r>
      <w:r w:rsidR="00CF4805">
        <w:rPr>
          <w:szCs w:val="22"/>
          <w:vertAlign w:val="superscript"/>
        </w:rPr>
        <w:t>,</w:t>
      </w:r>
      <w:r w:rsidR="00CF4805" w:rsidRPr="00CB3894">
        <w:rPr>
          <w:szCs w:val="22"/>
          <w:vertAlign w:val="superscript"/>
        </w:rPr>
        <w:footnoteReference w:id="146"/>
      </w:r>
      <w:r w:rsidR="00CF4805" w:rsidRPr="006D0FF7">
        <w:rPr>
          <w:vertAlign w:val="superscript"/>
        </w:rPr>
        <w:t xml:space="preserve"> </w:t>
      </w:r>
      <w:r w:rsidR="00E332F3" w:rsidRPr="00030B54">
        <w:rPr>
          <w:vertAlign w:val="superscript"/>
        </w:rPr>
        <w:t xml:space="preserve"> </w:t>
      </w:r>
      <w:r w:rsidR="0070088B" w:rsidRPr="00CA5F37">
        <w:t xml:space="preserve">The government can improve outcomes for young people and make the community safer by investing in </w:t>
      </w:r>
      <w:r w:rsidR="00075701">
        <w:t>the</w:t>
      </w:r>
      <w:r w:rsidR="0070088B" w:rsidRPr="00CA5F37">
        <w:t xml:space="preserve"> flexible range of diversion options </w:t>
      </w:r>
      <w:r w:rsidR="00F4393F" w:rsidRPr="00CA5F37">
        <w:t>along the justice continuum</w:t>
      </w:r>
      <w:r w:rsidR="00172C17">
        <w:t>,</w:t>
      </w:r>
      <w:r w:rsidR="00F4393F" w:rsidRPr="00CA5F37">
        <w:t xml:space="preserve"> </w:t>
      </w:r>
      <w:r w:rsidR="00CB3894">
        <w:t xml:space="preserve">which are available long-term and can be accessed </w:t>
      </w:r>
      <w:r w:rsidR="0070088B" w:rsidRPr="00CA5F37">
        <w:t>equitably across the state.</w:t>
      </w:r>
    </w:p>
    <w:p w14:paraId="0940AF42" w14:textId="77777777" w:rsidR="003E7585" w:rsidRDefault="003E7585" w:rsidP="00C30A78">
      <w:pPr>
        <w:pStyle w:val="Heading3"/>
      </w:pPr>
    </w:p>
    <w:p w14:paraId="3C7FB7E7" w14:textId="158DB65C" w:rsidR="00C30A78" w:rsidRPr="00CA5F37" w:rsidRDefault="00D47813" w:rsidP="00C30A78">
      <w:pPr>
        <w:pStyle w:val="Heading3"/>
      </w:pPr>
      <w:r>
        <w:t>Legislate to enshrine diversion</w:t>
      </w:r>
    </w:p>
    <w:p w14:paraId="0ABEF7B5" w14:textId="306FB1E8" w:rsidR="00C30A78" w:rsidRPr="004E2C9E" w:rsidRDefault="005F453E" w:rsidP="004E2C9E">
      <w:pPr>
        <w:pStyle w:val="Boxheading"/>
      </w:pPr>
      <w:r w:rsidRPr="004E2C9E">
        <w:t>Recommendation</w:t>
      </w:r>
    </w:p>
    <w:p w14:paraId="5B31859D" w14:textId="0A4028F9" w:rsidR="00C30A78" w:rsidRDefault="00041F63" w:rsidP="009E736B">
      <w:pPr>
        <w:pStyle w:val="Boxlist"/>
        <w:ind w:left="709" w:hanging="283"/>
      </w:pPr>
      <w:r>
        <w:t xml:space="preserve">Legislate to </w:t>
      </w:r>
      <w:r w:rsidR="00DC6EC0">
        <w:t>help m</w:t>
      </w:r>
      <w:r w:rsidR="00DC6EC0" w:rsidRPr="00DC6EC0">
        <w:t>ak</w:t>
      </w:r>
      <w:r w:rsidR="00DC6EC0">
        <w:t>e</w:t>
      </w:r>
      <w:r w:rsidR="00DC6EC0" w:rsidRPr="00DC6EC0">
        <w:t xml:space="preserve"> </w:t>
      </w:r>
      <w:r w:rsidR="00DC6EC0">
        <w:t xml:space="preserve">pre-plea youth </w:t>
      </w:r>
      <w:r w:rsidR="00DC6EC0" w:rsidRPr="00DC6EC0">
        <w:t>di</w:t>
      </w:r>
      <w:r w:rsidR="00DC6EC0">
        <w:t>version accessible to all young offenders</w:t>
      </w:r>
    </w:p>
    <w:p w14:paraId="119033D2" w14:textId="77777777" w:rsidR="003E7585" w:rsidRDefault="003E7585" w:rsidP="00ED2AB3"/>
    <w:p w14:paraId="40B701C4" w14:textId="65FD11CA" w:rsidR="00041F63" w:rsidRPr="00357CA9" w:rsidRDefault="00041F63" w:rsidP="00ED2AB3">
      <w:r>
        <w:t xml:space="preserve">Establishing a statutory </w:t>
      </w:r>
      <w:r w:rsidR="00EA0CE7">
        <w:t xml:space="preserve">pre-plea </w:t>
      </w:r>
      <w:r>
        <w:t>youth diversion scheme</w:t>
      </w:r>
      <w:r w:rsidR="00DC6EC0">
        <w:t xml:space="preserve"> in the children’s court</w:t>
      </w:r>
      <w:r>
        <w:t xml:space="preserve"> provides long-term certainty and </w:t>
      </w:r>
      <w:r w:rsidR="00DC6EC0">
        <w:t>help m</w:t>
      </w:r>
      <w:r w:rsidR="00DC6EC0" w:rsidRPr="00DC6EC0">
        <w:t>ak</w:t>
      </w:r>
      <w:r w:rsidR="00DC6EC0">
        <w:t>e</w:t>
      </w:r>
      <w:r w:rsidR="00DC6EC0" w:rsidRPr="00DC6EC0">
        <w:t xml:space="preserve"> diversion accessible to all young people</w:t>
      </w:r>
      <w:r w:rsidRPr="00E332F3">
        <w:t>.</w:t>
      </w:r>
      <w:r w:rsidRPr="00357CA9">
        <w:t xml:space="preserve"> </w:t>
      </w:r>
      <w:r>
        <w:t xml:space="preserve">The </w:t>
      </w:r>
      <w:r w:rsidRPr="00357CA9">
        <w:t>Royal Commission into Family Violence</w:t>
      </w:r>
      <w:r>
        <w:t xml:space="preserve"> recommended e</w:t>
      </w:r>
      <w:r w:rsidRPr="00357CA9">
        <w:t>stablishing a statutory youth diversion scheme, subject to a successful evaluation of the Youth D</w:t>
      </w:r>
      <w:r w:rsidRPr="00357CA9">
        <w:rPr>
          <w:rFonts w:hint="eastAsia"/>
        </w:rPr>
        <w:t>i</w:t>
      </w:r>
      <w:r w:rsidRPr="00357CA9">
        <w:t>version Program pilot</w:t>
      </w:r>
      <w:r w:rsidRPr="00D85DF3">
        <w:t>.</w:t>
      </w:r>
      <w:r w:rsidRPr="00357CA9">
        <w:rPr>
          <w:rFonts w:hint="eastAsia"/>
          <w:vertAlign w:val="superscript"/>
        </w:rPr>
        <w:footnoteReference w:id="147"/>
      </w:r>
    </w:p>
    <w:p w14:paraId="778F473E" w14:textId="38A051EB" w:rsidR="00041F63" w:rsidRDefault="005F453E" w:rsidP="005F453E">
      <w:r>
        <w:t xml:space="preserve">VCOSS understands the </w:t>
      </w:r>
      <w:r w:rsidR="00041F63">
        <w:t xml:space="preserve">Victorian </w:t>
      </w:r>
      <w:r>
        <w:t>government intends to legislate</w:t>
      </w:r>
      <w:r w:rsidR="00C30A78">
        <w:t xml:space="preserve"> </w:t>
      </w:r>
      <w:r>
        <w:t xml:space="preserve">the </w:t>
      </w:r>
      <w:r w:rsidR="00C30A78">
        <w:t xml:space="preserve">court-based </w:t>
      </w:r>
      <w:r w:rsidR="00895ED8">
        <w:rPr>
          <w:color w:val="333333"/>
          <w:shd w:val="clear" w:color="auto" w:fill="FEFEFE"/>
        </w:rPr>
        <w:t>pre-plea</w:t>
      </w:r>
      <w:r w:rsidR="00895ED8">
        <w:t xml:space="preserve"> </w:t>
      </w:r>
      <w:r w:rsidR="00C30A78">
        <w:t>youth diversion scheme.</w:t>
      </w:r>
      <w:r w:rsidRPr="005F453E">
        <w:rPr>
          <w:color w:val="000000"/>
          <w:shd w:val="clear" w:color="auto" w:fill="FFFFFF"/>
        </w:rPr>
        <w:t xml:space="preserve"> </w:t>
      </w:r>
      <w:r>
        <w:rPr>
          <w:color w:val="000000"/>
          <w:shd w:val="clear" w:color="auto" w:fill="FFFFFF"/>
        </w:rPr>
        <w:t>The diversion program builds on the Jesuit Social Services’ Youth Diversion Pilot Program which has assisted more than 270 young people since June 2015.</w:t>
      </w:r>
      <w:r w:rsidRPr="0055578A">
        <w:t xml:space="preserve"> </w:t>
      </w:r>
      <w:r>
        <w:t>The pilot program, operating in seven Victorian courts, has received consistently positive feedback from Victoria Legal Aid, police prosecutors and the broader court network, with 94 per cent of participants successfully completing the program.</w:t>
      </w:r>
      <w:r>
        <w:rPr>
          <w:rStyle w:val="FootnoteReference"/>
        </w:rPr>
        <w:footnoteReference w:id="148"/>
      </w:r>
      <w:r>
        <w:t xml:space="preserve"> Early findings indicate many positive effects for young people, including improved engagement in education, improved mental health, and better employment prospects</w:t>
      </w:r>
      <w:r w:rsidR="00041F63">
        <w:t>.</w:t>
      </w:r>
      <w:r>
        <w:rPr>
          <w:rStyle w:val="FootnoteReference"/>
        </w:rPr>
        <w:footnoteReference w:id="149"/>
      </w:r>
      <w:r>
        <w:t xml:space="preserve"> </w:t>
      </w:r>
    </w:p>
    <w:p w14:paraId="149BA65B" w14:textId="77777777" w:rsidR="004E2C9E" w:rsidRDefault="004E2C9E" w:rsidP="00FE026E">
      <w:pPr>
        <w:keepNext/>
      </w:pPr>
    </w:p>
    <w:p w14:paraId="3CEC64A6" w14:textId="5C64EA51" w:rsidR="00EF663F" w:rsidRDefault="00041F63" w:rsidP="00FE026E">
      <w:pPr>
        <w:pStyle w:val="Heading3"/>
      </w:pPr>
      <w:r>
        <w:t xml:space="preserve">Establish </w:t>
      </w:r>
      <w:r w:rsidR="00EF663F">
        <w:t>a</w:t>
      </w:r>
      <w:r>
        <w:t>n</w:t>
      </w:r>
      <w:r w:rsidR="00EF663F">
        <w:t xml:space="preserve"> </w:t>
      </w:r>
      <w:r>
        <w:t xml:space="preserve">Aboriginal </w:t>
      </w:r>
      <w:r w:rsidR="00EF663F">
        <w:t>youth cautioning program</w:t>
      </w:r>
    </w:p>
    <w:p w14:paraId="55101AF1" w14:textId="54583076" w:rsidR="0003414A" w:rsidRPr="005F453E" w:rsidRDefault="005F453E" w:rsidP="00FE026E">
      <w:pPr>
        <w:pStyle w:val="Boxlist"/>
        <w:keepNext/>
        <w:numPr>
          <w:ilvl w:val="0"/>
          <w:numId w:val="0"/>
        </w:numPr>
        <w:ind w:left="784" w:hanging="360"/>
        <w:rPr>
          <w:b/>
        </w:rPr>
      </w:pPr>
      <w:r w:rsidRPr="005F453E">
        <w:rPr>
          <w:b/>
        </w:rPr>
        <w:t>Recommendation</w:t>
      </w:r>
    </w:p>
    <w:p w14:paraId="53DE0933" w14:textId="5A709E84" w:rsidR="00EF663F" w:rsidRPr="002E0643" w:rsidRDefault="00041F63" w:rsidP="00FE026E">
      <w:pPr>
        <w:pStyle w:val="Boxlist"/>
        <w:keepNext/>
        <w:ind w:left="851" w:hanging="425"/>
      </w:pPr>
      <w:r w:rsidRPr="002E0643">
        <w:t>Establish</w:t>
      </w:r>
      <w:r w:rsidR="00EF663F" w:rsidRPr="002E0643">
        <w:t xml:space="preserve"> a</w:t>
      </w:r>
      <w:r w:rsidRPr="002E0643">
        <w:t>n Aboriginal</w:t>
      </w:r>
      <w:r w:rsidR="00EF663F" w:rsidRPr="002E0643">
        <w:t xml:space="preserve"> youth cautioning program</w:t>
      </w:r>
    </w:p>
    <w:p w14:paraId="6420C5A5" w14:textId="77777777" w:rsidR="003E7585" w:rsidRDefault="003E7585" w:rsidP="00B6582D"/>
    <w:p w14:paraId="400BE14B" w14:textId="340AD40C" w:rsidR="008B1763" w:rsidRPr="008B1763" w:rsidRDefault="00041F63" w:rsidP="00B6582D">
      <w:r>
        <w:t>Police officers can c</w:t>
      </w:r>
      <w:r w:rsidR="004B1FE4">
        <w:t xml:space="preserve">aution </w:t>
      </w:r>
      <w:r>
        <w:t xml:space="preserve">Aboriginal young people </w:t>
      </w:r>
      <w:r w:rsidR="004B1FE4">
        <w:t xml:space="preserve">for </w:t>
      </w:r>
      <w:r w:rsidR="002A6E1B">
        <w:t xml:space="preserve">first time and </w:t>
      </w:r>
      <w:r w:rsidR="004B1FE4">
        <w:t>less serious offen</w:t>
      </w:r>
      <w:r>
        <w:t>ces</w:t>
      </w:r>
      <w:r w:rsidR="004B1FE4">
        <w:t xml:space="preserve">. </w:t>
      </w:r>
      <w:r>
        <w:t>This</w:t>
      </w:r>
      <w:r w:rsidR="004B1FE4">
        <w:t xml:space="preserve"> </w:t>
      </w:r>
      <w:r>
        <w:t>reduces</w:t>
      </w:r>
      <w:r w:rsidR="004B1FE4">
        <w:t xml:space="preserve"> further offending, especially when young people </w:t>
      </w:r>
      <w:r>
        <w:t xml:space="preserve">are also referred </w:t>
      </w:r>
      <w:r w:rsidR="004B1FE4">
        <w:t>to diversionary programs.</w:t>
      </w:r>
      <w:r w:rsidR="004B1FE4">
        <w:rPr>
          <w:rStyle w:val="FootnoteReference"/>
        </w:rPr>
        <w:footnoteReference w:id="150"/>
      </w:r>
      <w:r w:rsidR="004B1FE4">
        <w:t xml:space="preserve"> </w:t>
      </w:r>
      <w:r w:rsidR="008B1763" w:rsidRPr="008B1763">
        <w:t xml:space="preserve">Aboriginal young people </w:t>
      </w:r>
      <w:r w:rsidR="008B1763">
        <w:t xml:space="preserve">are </w:t>
      </w:r>
      <w:r w:rsidR="00714943">
        <w:t xml:space="preserve">less likely </w:t>
      </w:r>
      <w:r w:rsidR="008B1763" w:rsidRPr="008B1763">
        <w:t xml:space="preserve">to receive a caution or warning </w:t>
      </w:r>
      <w:r w:rsidR="008B1763">
        <w:t xml:space="preserve">for committing an offence, </w:t>
      </w:r>
      <w:r>
        <w:t>compared with</w:t>
      </w:r>
      <w:r w:rsidR="008B1763" w:rsidRPr="008B1763">
        <w:t xml:space="preserve"> non-Aboriginal you</w:t>
      </w:r>
      <w:r>
        <w:t>ng</w:t>
      </w:r>
      <w:r w:rsidR="008B1763" w:rsidRPr="008B1763">
        <w:t xml:space="preserve"> people</w:t>
      </w:r>
      <w:r w:rsidR="008B1763">
        <w:t>.</w:t>
      </w:r>
      <w:r w:rsidR="008B1763" w:rsidRPr="008B1763">
        <w:rPr>
          <w:rStyle w:val="FootnoteReference"/>
        </w:rPr>
        <w:footnoteReference w:id="151"/>
      </w:r>
      <w:r w:rsidR="004B1FE4">
        <w:t xml:space="preserve"> </w:t>
      </w:r>
      <w:r>
        <w:t>The Government can help change this disparity, and divert young Aboriginal people from crime by establishing a Koori youth cautioning program.</w:t>
      </w:r>
    </w:p>
    <w:p w14:paraId="591D38FF" w14:textId="121A2590" w:rsidR="00B6582D" w:rsidRDefault="00B6582D" w:rsidP="004B1FE4">
      <w:r>
        <w:t xml:space="preserve">A Koori youth cautioning pilot commenced in </w:t>
      </w:r>
      <w:proofErr w:type="spellStart"/>
      <w:r>
        <w:t>Morwell</w:t>
      </w:r>
      <w:proofErr w:type="spellEnd"/>
      <w:r>
        <w:t xml:space="preserve"> and </w:t>
      </w:r>
      <w:proofErr w:type="spellStart"/>
      <w:r>
        <w:t>Mildura</w:t>
      </w:r>
      <w:proofErr w:type="spellEnd"/>
      <w:r>
        <w:t xml:space="preserve"> in 2007. It worked to increase police cautioning rates for Aboriginal young people, and decrease future police contact rates using diversion strategies. The Victorian Aboriginal Legal Service </w:t>
      </w:r>
      <w:r w:rsidR="00041F63">
        <w:t>reached out to</w:t>
      </w:r>
      <w:r>
        <w:t xml:space="preserve"> Aboriginal young people coming into police contact, help</w:t>
      </w:r>
      <w:r w:rsidR="00041F63">
        <w:t>ing</w:t>
      </w:r>
      <w:r>
        <w:t xml:space="preserve"> divert them from the criminal justice system and link</w:t>
      </w:r>
      <w:r w:rsidR="00041F63">
        <w:t>ing</w:t>
      </w:r>
      <w:r>
        <w:t xml:space="preserve"> </w:t>
      </w:r>
      <w:r w:rsidR="00D47813">
        <w:t xml:space="preserve">them </w:t>
      </w:r>
      <w:r>
        <w:t>with support.</w:t>
      </w:r>
    </w:p>
    <w:p w14:paraId="5120701E" w14:textId="3EC441F9" w:rsidR="00B6582D" w:rsidRDefault="00B6582D" w:rsidP="004B1FE4">
      <w:r>
        <w:t xml:space="preserve">The pilot concluded in 2008, resulting in a 45 per cent increase in cautioning in </w:t>
      </w:r>
      <w:proofErr w:type="spellStart"/>
      <w:r>
        <w:t>Mildura</w:t>
      </w:r>
      <w:proofErr w:type="spellEnd"/>
      <w:r>
        <w:t xml:space="preserve"> and a 32 per cent increase in </w:t>
      </w:r>
      <w:proofErr w:type="spellStart"/>
      <w:r>
        <w:t>Morwell</w:t>
      </w:r>
      <w:proofErr w:type="spellEnd"/>
      <w:r>
        <w:t>.</w:t>
      </w:r>
      <w:r>
        <w:rPr>
          <w:rStyle w:val="FootnoteReference"/>
          <w:color w:val="333333"/>
          <w:sz w:val="20"/>
        </w:rPr>
        <w:footnoteReference w:id="152"/>
      </w:r>
      <w:r>
        <w:rPr>
          <w:rStyle w:val="apple-converted-space"/>
          <w:color w:val="333333"/>
          <w:sz w:val="20"/>
        </w:rPr>
        <w:t> </w:t>
      </w:r>
      <w:r>
        <w:t xml:space="preserve">Despite being a </w:t>
      </w:r>
      <w:r w:rsidR="00BF1E90">
        <w:t>part of</w:t>
      </w:r>
      <w:r>
        <w:t xml:space="preserve"> the Aboriginal Justice Agreement Phase 3</w:t>
      </w:r>
      <w:r w:rsidR="00BF1E90">
        <w:t>,</w:t>
      </w:r>
      <w:r>
        <w:rPr>
          <w:rStyle w:val="FootnoteReference"/>
          <w:color w:val="333333"/>
          <w:sz w:val="20"/>
        </w:rPr>
        <w:footnoteReference w:id="153"/>
      </w:r>
      <w:r>
        <w:t xml:space="preserve"> the program has not secured ongoing funding or been expanded to other regions.</w:t>
      </w:r>
    </w:p>
    <w:p w14:paraId="584B3A49" w14:textId="77777777" w:rsidR="003E7585" w:rsidRDefault="003E7585" w:rsidP="00E72008">
      <w:pPr>
        <w:pStyle w:val="Heading3"/>
      </w:pPr>
    </w:p>
    <w:p w14:paraId="112846E4" w14:textId="23D66EAE" w:rsidR="008047A6" w:rsidRDefault="00E72008" w:rsidP="00E72008">
      <w:pPr>
        <w:pStyle w:val="Heading3"/>
      </w:pPr>
      <w:r>
        <w:t>Provide i</w:t>
      </w:r>
      <w:r w:rsidR="008047A6">
        <w:t xml:space="preserve">ntensive support for young people committing </w:t>
      </w:r>
      <w:r>
        <w:t xml:space="preserve">a </w:t>
      </w:r>
      <w:r w:rsidR="008047A6">
        <w:t>high volume of offences</w:t>
      </w:r>
    </w:p>
    <w:p w14:paraId="5134451C" w14:textId="3EA4B5A6" w:rsidR="008047A6" w:rsidRPr="00573AC7" w:rsidRDefault="00E72008" w:rsidP="00573AC7">
      <w:pPr>
        <w:pStyle w:val="Boxlist"/>
        <w:numPr>
          <w:ilvl w:val="0"/>
          <w:numId w:val="0"/>
        </w:numPr>
        <w:ind w:left="784" w:hanging="360"/>
        <w:rPr>
          <w:b/>
        </w:rPr>
      </w:pPr>
      <w:r>
        <w:rPr>
          <w:b/>
        </w:rPr>
        <w:t>Recommendation</w:t>
      </w:r>
    </w:p>
    <w:p w14:paraId="4E04569D" w14:textId="2D7E016D" w:rsidR="008047A6" w:rsidRPr="000D6E89" w:rsidRDefault="008047A6" w:rsidP="009E736B">
      <w:pPr>
        <w:pStyle w:val="Boxlist"/>
        <w:ind w:left="851" w:hanging="425"/>
      </w:pPr>
      <w:r w:rsidRPr="000D6E89">
        <w:t>Fund intensive case-management and family support for the small number of young people committing large numbers of offences</w:t>
      </w:r>
    </w:p>
    <w:p w14:paraId="3D04445D" w14:textId="3B8CD08D" w:rsidR="00BF1E90" w:rsidRDefault="008047A6" w:rsidP="008047A6">
      <w:r>
        <w:t xml:space="preserve">The Crime </w:t>
      </w:r>
      <w:r w:rsidR="00BF1E90">
        <w:t>Statistics</w:t>
      </w:r>
      <w:r>
        <w:t xml:space="preserve"> Agenc</w:t>
      </w:r>
      <w:r w:rsidR="00BF1E90">
        <w:t>y</w:t>
      </w:r>
      <w:r>
        <w:t xml:space="preserve"> identifies 182 young people in the ‘high offender’ category</w:t>
      </w:r>
      <w:r w:rsidR="00BF1E90">
        <w:t>. This small group</w:t>
      </w:r>
      <w:r>
        <w:t xml:space="preserve"> </w:t>
      </w:r>
      <w:r w:rsidRPr="0058011B">
        <w:t xml:space="preserve">commit </w:t>
      </w:r>
      <w:r>
        <w:t xml:space="preserve">almost </w:t>
      </w:r>
      <w:r w:rsidRPr="0058011B">
        <w:t>one quarter</w:t>
      </w:r>
      <w:r>
        <w:t xml:space="preserve"> </w:t>
      </w:r>
      <w:r w:rsidRPr="0058011B">
        <w:t>of all offences</w:t>
      </w:r>
      <w:r w:rsidR="00BF1E90">
        <w:t xml:space="preserve"> by young people</w:t>
      </w:r>
      <w:r w:rsidRPr="0058011B">
        <w:t xml:space="preserve"> in Victoria</w:t>
      </w:r>
      <w:r>
        <w:t>.</w:t>
      </w:r>
      <w:r w:rsidRPr="00496172">
        <w:rPr>
          <w:vertAlign w:val="superscript"/>
        </w:rPr>
        <w:footnoteReference w:id="154"/>
      </w:r>
      <w:r w:rsidRPr="0058011B">
        <w:t xml:space="preserve"> </w:t>
      </w:r>
    </w:p>
    <w:p w14:paraId="3EBDAE1F" w14:textId="761E8B50" w:rsidR="00BF1E90" w:rsidRPr="006D0FF7" w:rsidRDefault="00BF1E90" w:rsidP="00BF1E90">
      <w:r>
        <w:lastRenderedPageBreak/>
        <w:t>T</w:t>
      </w:r>
      <w:r w:rsidRPr="006D0FF7">
        <w:t xml:space="preserve">hese young people could </w:t>
      </w:r>
      <w:r>
        <w:t xml:space="preserve">be </w:t>
      </w:r>
      <w:r w:rsidRPr="006D0FF7">
        <w:t>assisted to reform their behaviour</w:t>
      </w:r>
      <w:r>
        <w:t xml:space="preserve"> </w:t>
      </w:r>
      <w:r w:rsidRPr="006D0FF7">
        <w:t xml:space="preserve">by providing intensive case management </w:t>
      </w:r>
      <w:r>
        <w:t xml:space="preserve">in the community, </w:t>
      </w:r>
      <w:r w:rsidRPr="006D0FF7">
        <w:t>from highly skilled staff</w:t>
      </w:r>
      <w:r w:rsidRPr="00183EB7">
        <w:t>.</w:t>
      </w:r>
      <w:r w:rsidRPr="00CB3894">
        <w:rPr>
          <w:vertAlign w:val="superscript"/>
        </w:rPr>
        <w:footnoteReference w:id="155"/>
      </w:r>
      <w:r w:rsidRPr="00CB3894">
        <w:rPr>
          <w:vertAlign w:val="superscript"/>
        </w:rPr>
        <w:t>,</w:t>
      </w:r>
      <w:r w:rsidRPr="00CB3894">
        <w:rPr>
          <w:szCs w:val="22"/>
          <w:vertAlign w:val="superscript"/>
        </w:rPr>
        <w:footnoteReference w:id="156"/>
      </w:r>
      <w:r w:rsidRPr="006D0FF7">
        <w:rPr>
          <w:vertAlign w:val="superscript"/>
        </w:rPr>
        <w:t xml:space="preserve"> </w:t>
      </w:r>
      <w:r w:rsidRPr="006D0FF7">
        <w:t xml:space="preserve">This </w:t>
      </w:r>
      <w:r>
        <w:t>may require after</w:t>
      </w:r>
      <w:r w:rsidR="00D47813">
        <w:t xml:space="preserve"> </w:t>
      </w:r>
      <w:r w:rsidRPr="006D0FF7">
        <w:t xml:space="preserve">hours </w:t>
      </w:r>
      <w:r>
        <w:t xml:space="preserve">and weekend </w:t>
      </w:r>
      <w:r w:rsidRPr="006D0FF7">
        <w:t>support</w:t>
      </w:r>
      <w:r>
        <w:t>,</w:t>
      </w:r>
      <w:r w:rsidRPr="006D0FF7">
        <w:t xml:space="preserve"> and two case workers for a period of time. Assertive outreach can help identify these young people and deliver support in their community.</w:t>
      </w:r>
      <w:r>
        <w:rPr>
          <w:rStyle w:val="FootnoteReference"/>
        </w:rPr>
        <w:footnoteReference w:id="157"/>
      </w:r>
    </w:p>
    <w:p w14:paraId="777ACA32" w14:textId="047B25C2" w:rsidR="008047A6" w:rsidRDefault="008047A6" w:rsidP="008047A6">
      <w:r w:rsidRPr="0058011B">
        <w:t>VCOSS m</w:t>
      </w:r>
      <w:r>
        <w:t xml:space="preserve">embers </w:t>
      </w:r>
      <w:r w:rsidRPr="0058011B">
        <w:t xml:space="preserve">report there are between 180 and 500 young people who are </w:t>
      </w:r>
      <w:r>
        <w:t xml:space="preserve">involved in </w:t>
      </w:r>
      <w:r w:rsidRPr="0058011B">
        <w:t xml:space="preserve">repeat </w:t>
      </w:r>
      <w:r>
        <w:t xml:space="preserve">serious </w:t>
      </w:r>
      <w:r w:rsidRPr="0058011B">
        <w:t>offend</w:t>
      </w:r>
      <w:r>
        <w:t>ing</w:t>
      </w:r>
      <w:r w:rsidRPr="0058011B">
        <w:t xml:space="preserve">. This group is small enough </w:t>
      </w:r>
      <w:r w:rsidR="00BF1E90">
        <w:t xml:space="preserve">to provide </w:t>
      </w:r>
      <w:r w:rsidR="006D0FF7">
        <w:t xml:space="preserve">targeted, </w:t>
      </w:r>
      <w:r w:rsidRPr="0058011B">
        <w:t xml:space="preserve">intensive interventions to each </w:t>
      </w:r>
      <w:r w:rsidR="00BF1E90">
        <w:t xml:space="preserve">individual </w:t>
      </w:r>
      <w:r w:rsidRPr="0058011B">
        <w:t xml:space="preserve">young person and their family. </w:t>
      </w:r>
      <w:r w:rsidR="00BF1E90">
        <w:t>VCOSS m</w:t>
      </w:r>
      <w:r w:rsidRPr="0058011B">
        <w:t>embers report police and services providers often k</w:t>
      </w:r>
      <w:r>
        <w:t>now these young people</w:t>
      </w:r>
      <w:r w:rsidR="00BF1E90">
        <w:t>,</w:t>
      </w:r>
      <w:r>
        <w:t xml:space="preserve"> but do not</w:t>
      </w:r>
      <w:r w:rsidRPr="0058011B">
        <w:t xml:space="preserve"> have the resources or </w:t>
      </w:r>
      <w:r>
        <w:t xml:space="preserve">flexibility to </w:t>
      </w:r>
      <w:r w:rsidRPr="0058011B">
        <w:t xml:space="preserve">provide the intensive support required. </w:t>
      </w:r>
      <w:r w:rsidR="00BF1E90">
        <w:t>S</w:t>
      </w:r>
      <w:r w:rsidRPr="0058011B">
        <w:t xml:space="preserve">ome good programs </w:t>
      </w:r>
      <w:r w:rsidR="00BF1E90">
        <w:t xml:space="preserve">exist, </w:t>
      </w:r>
      <w:r w:rsidRPr="0058011B">
        <w:t xml:space="preserve">but </w:t>
      </w:r>
      <w:r w:rsidR="00BF1E90">
        <w:t>they do not have the resources to cater for this group</w:t>
      </w:r>
      <w:r w:rsidRPr="0058011B">
        <w:t xml:space="preserve">. </w:t>
      </w:r>
    </w:p>
    <w:p w14:paraId="6C728776" w14:textId="333E0212" w:rsidR="006D0FF7" w:rsidRPr="006D0FF7" w:rsidRDefault="006D0FF7" w:rsidP="006D0FF7">
      <w:r w:rsidRPr="006D0FF7">
        <w:t xml:space="preserve">Providing comprehensive, multidisciplinary interventions can help address the complex issues they may face, </w:t>
      </w:r>
      <w:r w:rsidR="00BF1E90">
        <w:t>including</w:t>
      </w:r>
      <w:r w:rsidRPr="006D0FF7">
        <w:t xml:space="preserve"> mental health</w:t>
      </w:r>
      <w:r w:rsidR="00BF1E90">
        <w:t xml:space="preserve"> difficulties</w:t>
      </w:r>
      <w:r w:rsidRPr="006D0FF7">
        <w:t xml:space="preserve">, </w:t>
      </w:r>
      <w:r w:rsidR="009F2C1F">
        <w:t xml:space="preserve">experience of trauma, </w:t>
      </w:r>
      <w:r w:rsidR="00BF1E90">
        <w:t xml:space="preserve">problem </w:t>
      </w:r>
      <w:r w:rsidRPr="006D0FF7">
        <w:t>drug and alcohol</w:t>
      </w:r>
      <w:r w:rsidR="00BF1E90">
        <w:t xml:space="preserve"> use</w:t>
      </w:r>
      <w:r w:rsidRPr="006D0FF7">
        <w:t xml:space="preserve">, housing </w:t>
      </w:r>
      <w:r w:rsidR="00BF1E90">
        <w:t>in</w:t>
      </w:r>
      <w:r w:rsidRPr="006D0FF7">
        <w:t xml:space="preserve">stability and </w:t>
      </w:r>
      <w:r w:rsidR="00BF1E90">
        <w:t>dis</w:t>
      </w:r>
      <w:r w:rsidRPr="006D0FF7">
        <w:t xml:space="preserve">engagement </w:t>
      </w:r>
      <w:r w:rsidR="00BF1E90">
        <w:t>from</w:t>
      </w:r>
      <w:r w:rsidRPr="006D0FF7">
        <w:t xml:space="preserve"> education or employment</w:t>
      </w:r>
      <w:r w:rsidR="00BF1E90">
        <w:t>.</w:t>
      </w:r>
      <w:r w:rsidR="00183EB7" w:rsidRPr="00CB3894">
        <w:rPr>
          <w:vertAlign w:val="superscript"/>
        </w:rPr>
        <w:footnoteReference w:id="158"/>
      </w:r>
      <w:r w:rsidRPr="006D0FF7">
        <w:t xml:space="preserve"> Engaging with the young person’s family and community can also strengthen family support and build their social and cultural connections</w:t>
      </w:r>
      <w:r w:rsidR="00BF1E90">
        <w:t>,</w:t>
      </w:r>
      <w:r w:rsidR="00BF1E90" w:rsidRPr="00BF1E90">
        <w:t xml:space="preserve"> </w:t>
      </w:r>
      <w:r w:rsidR="00BF1E90" w:rsidRPr="006D0FF7">
        <w:t>along with tailored programs that build their skills a</w:t>
      </w:r>
      <w:r w:rsidR="00BF1E90">
        <w:t>nd promote pro-social behavior.</w:t>
      </w:r>
    </w:p>
    <w:p w14:paraId="00C3AB63" w14:textId="6F508C7F" w:rsidR="006D0FF7" w:rsidRDefault="00934B56" w:rsidP="006D0FF7">
      <w:r>
        <w:t>T</w:t>
      </w:r>
      <w:r w:rsidR="006D0FF7" w:rsidRPr="006D0FF7">
        <w:t>aking the time to understand the young person’s passions and interests, as well the issues they face</w:t>
      </w:r>
      <w:r>
        <w:t>, can help foster respect and build trust and better tailor interventions</w:t>
      </w:r>
      <w:r w:rsidR="006D0FF7" w:rsidRPr="006D0FF7">
        <w:t>.</w:t>
      </w:r>
      <w:r w:rsidR="00183EB7" w:rsidRPr="00183EB7">
        <w:rPr>
          <w:rStyle w:val="FootnoteReference"/>
        </w:rPr>
        <w:t xml:space="preserve"> </w:t>
      </w:r>
      <w:r w:rsidR="00183EB7">
        <w:rPr>
          <w:rStyle w:val="FootnoteReference"/>
        </w:rPr>
        <w:footnoteReference w:id="159"/>
      </w:r>
      <w:r w:rsidR="00183EB7">
        <w:rPr>
          <w:rStyle w:val="FootnoteReference"/>
        </w:rPr>
        <w:t xml:space="preserve"> </w:t>
      </w:r>
      <w:r>
        <w:t>Case managers can</w:t>
      </w:r>
      <w:r w:rsidR="006D0FF7" w:rsidRPr="006D0FF7">
        <w:t xml:space="preserve"> then work alongside these young people to build the scaffolding needed to address their issues, develop their skills and help set them on a positive pathway. </w:t>
      </w:r>
    </w:p>
    <w:p w14:paraId="75F0CED0" w14:textId="323AFF25" w:rsidR="004E2C9E" w:rsidRPr="00561000" w:rsidRDefault="006D0FF7" w:rsidP="00561000">
      <w:r w:rsidRPr="00714943">
        <w:t xml:space="preserve">Further research </w:t>
      </w:r>
      <w:r w:rsidR="00E72008" w:rsidRPr="00714943">
        <w:t xml:space="preserve">may be </w:t>
      </w:r>
      <w:r w:rsidRPr="00714943">
        <w:t xml:space="preserve">required on the risk and preventative factors and the best response for the </w:t>
      </w:r>
      <w:r w:rsidR="00F24160">
        <w:t>young people</w:t>
      </w:r>
      <w:r w:rsidR="00F24160" w:rsidRPr="00F24160">
        <w:t xml:space="preserve"> </w:t>
      </w:r>
      <w:r w:rsidR="00F24160">
        <w:t>committing a high volume of offences</w:t>
      </w:r>
      <w:r w:rsidRPr="00714943">
        <w:t>.</w:t>
      </w:r>
      <w:r w:rsidRPr="00714943">
        <w:rPr>
          <w:vertAlign w:val="superscript"/>
        </w:rPr>
        <w:footnoteReference w:id="160"/>
      </w:r>
      <w:r w:rsidRPr="00714943">
        <w:t xml:space="preserve"> However</w:t>
      </w:r>
      <w:r w:rsidRPr="00561000">
        <w:t xml:space="preserve">, lessons </w:t>
      </w:r>
      <w:r w:rsidR="00F24160">
        <w:t xml:space="preserve">about effective practice, </w:t>
      </w:r>
      <w:r w:rsidRPr="00561000">
        <w:t xml:space="preserve">can be learnt from </w:t>
      </w:r>
      <w:r w:rsidR="00F24160">
        <w:t xml:space="preserve">existing </w:t>
      </w:r>
      <w:r w:rsidRPr="00561000">
        <w:t>models of intensive case management support</w:t>
      </w:r>
      <w:r w:rsidR="00F24160">
        <w:t>, such as the Youth Justice Community Support Services</w:t>
      </w:r>
      <w:r w:rsidRPr="00561000">
        <w:t xml:space="preserve">. </w:t>
      </w:r>
      <w:r w:rsidR="001F1FDE">
        <w:t>The below case study highlights what can be achieved when a worker forms an influential relationship with a young person and their family involved in high-volume offending and offers practical assistance to get on a positive pathway.</w:t>
      </w:r>
    </w:p>
    <w:p w14:paraId="41266E34" w14:textId="66F1515A" w:rsidR="00116F23" w:rsidRPr="004E2C9E" w:rsidRDefault="00116F23" w:rsidP="004E2C9E">
      <w:pPr>
        <w:pStyle w:val="Boxheading"/>
        <w:pBdr>
          <w:top w:val="single" w:sz="48" w:space="1" w:color="FDDBA5"/>
          <w:left w:val="single" w:sz="48" w:space="4" w:color="FDDBA5"/>
          <w:bottom w:val="single" w:sz="48" w:space="1" w:color="FDDBA5"/>
          <w:right w:val="single" w:sz="48" w:space="4" w:color="FDDBA5"/>
        </w:pBdr>
        <w:shd w:val="clear" w:color="auto" w:fill="FDDBA5"/>
        <w:rPr>
          <w:rFonts w:cs="Times New Roman"/>
        </w:rPr>
      </w:pPr>
      <w:r w:rsidRPr="004E2C9E">
        <w:t>Case study –</w:t>
      </w:r>
      <w:r>
        <w:t xml:space="preserve"> </w:t>
      </w:r>
      <w:proofErr w:type="spellStart"/>
      <w:r w:rsidRPr="004E2C9E">
        <w:rPr>
          <w:lang w:val="en-US"/>
        </w:rPr>
        <w:t>Okoth</w:t>
      </w:r>
      <w:proofErr w:type="spellEnd"/>
      <w:r w:rsidRPr="004E2C9E">
        <w:t>’</w:t>
      </w:r>
      <w:r w:rsidRPr="004E2C9E">
        <w:rPr>
          <w:lang w:val="en-US"/>
        </w:rPr>
        <w:t>s Story</w:t>
      </w:r>
    </w:p>
    <w:p w14:paraId="6BF1BC72" w14:textId="77777777" w:rsidR="00116F23" w:rsidRDefault="00116F23" w:rsidP="004E2C9E">
      <w:pPr>
        <w:pStyle w:val="Box3List"/>
        <w:numPr>
          <w:ilvl w:val="0"/>
          <w:numId w:val="0"/>
        </w:numPr>
        <w:ind w:left="340"/>
      </w:pPr>
      <w:r>
        <w:t xml:space="preserve">In 2006, </w:t>
      </w:r>
      <w:proofErr w:type="spellStart"/>
      <w:r>
        <w:t>Okoth</w:t>
      </w:r>
      <w:proofErr w:type="spellEnd"/>
      <w:r>
        <w:t xml:space="preserve">* moved to Australia from a refugee camp in South Sudan. He was 6 years old and had experienced substantial trauma, experiencing  war and violence in Sudan and </w:t>
      </w:r>
      <w:r>
        <w:lastRenderedPageBreak/>
        <w:t xml:space="preserve">the subsequent refugee journey through Egypt (where they spent two years in an urban refugee enclave) before arriving in Melbourne on Humanitarian Visas. </w:t>
      </w:r>
    </w:p>
    <w:p w14:paraId="18701002" w14:textId="33D75554" w:rsidR="00116F23" w:rsidRDefault="00116F23" w:rsidP="004E2C9E">
      <w:pPr>
        <w:pStyle w:val="Box3List"/>
        <w:numPr>
          <w:ilvl w:val="0"/>
          <w:numId w:val="0"/>
        </w:numPr>
        <w:ind w:left="340"/>
      </w:pPr>
      <w:r>
        <w:t xml:space="preserve">As a teenager </w:t>
      </w:r>
      <w:proofErr w:type="spellStart"/>
      <w:r>
        <w:t>Okoth</w:t>
      </w:r>
      <w:proofErr w:type="spellEnd"/>
      <w:r>
        <w:t xml:space="preserve"> began engaging in anti-social type offending and was on bail for a series of offences relating to violent offending, including aggravated burglary and assault. </w:t>
      </w:r>
      <w:proofErr w:type="spellStart"/>
      <w:r>
        <w:t>Okoth’s</w:t>
      </w:r>
      <w:proofErr w:type="spellEnd"/>
      <w:r>
        <w:t xml:space="preserve"> older brother, Kato, was incarcerated in a youth detention facility for similar violent offending.</w:t>
      </w:r>
    </w:p>
    <w:p w14:paraId="1E22E4E3" w14:textId="5A11C9E0" w:rsidR="00116F23" w:rsidRDefault="00116F23" w:rsidP="004E2C9E">
      <w:pPr>
        <w:pStyle w:val="Box3List"/>
        <w:numPr>
          <w:ilvl w:val="0"/>
          <w:numId w:val="0"/>
        </w:numPr>
        <w:ind w:left="340"/>
      </w:pPr>
      <w:r>
        <w:t xml:space="preserve">At age 16, </w:t>
      </w:r>
      <w:proofErr w:type="spellStart"/>
      <w:r>
        <w:t>Okoth</w:t>
      </w:r>
      <w:proofErr w:type="spellEnd"/>
      <w:r>
        <w:t xml:space="preserve"> came in contact with Youth Support and Advocacy Services (YSAS), initially through attending the YSAS after-hours drop-in program and then through a chance meeting at the Dandenong Magistrate’s Court. The worker discovered </w:t>
      </w:r>
      <w:proofErr w:type="spellStart"/>
      <w:r>
        <w:t>Okoth</w:t>
      </w:r>
      <w:proofErr w:type="spellEnd"/>
      <w:r>
        <w:t xml:space="preserve"> had several court matters coming up but that he had ‘no idea’ when or what he had to do to prepare and had not been attending his youth justice workers appointments, required as part of his bail conditions. The worker offered to assist </w:t>
      </w:r>
      <w:proofErr w:type="spellStart"/>
      <w:r>
        <w:t>Okoth</w:t>
      </w:r>
      <w:proofErr w:type="spellEnd"/>
      <w:r>
        <w:t xml:space="preserve"> with his court appearance and his regular youth justice appointments. The worker provided </w:t>
      </w:r>
      <w:proofErr w:type="spellStart"/>
      <w:r>
        <w:t>Okoth</w:t>
      </w:r>
      <w:proofErr w:type="spellEnd"/>
      <w:r>
        <w:t xml:space="preserve"> with intensive support, including collect</w:t>
      </w:r>
      <w:r w:rsidR="00CC15F1">
        <w:t>ing</w:t>
      </w:r>
      <w:r>
        <w:t xml:space="preserve"> him from his family home and driving him to these appointments. </w:t>
      </w:r>
    </w:p>
    <w:p w14:paraId="3BB388DE" w14:textId="77777777" w:rsidR="00116F23" w:rsidRDefault="00116F23" w:rsidP="004E2C9E">
      <w:pPr>
        <w:pStyle w:val="Box3List"/>
        <w:numPr>
          <w:ilvl w:val="0"/>
          <w:numId w:val="0"/>
        </w:numPr>
        <w:ind w:left="340"/>
      </w:pPr>
      <w:r>
        <w:t xml:space="preserve">During this time, the work worker got to know </w:t>
      </w:r>
      <w:proofErr w:type="spellStart"/>
      <w:r>
        <w:t>Okoth</w:t>
      </w:r>
      <w:proofErr w:type="spellEnd"/>
      <w:r>
        <w:t xml:space="preserve"> and his mother, Aba* and assisted them with other issues. Aba reported heated conflicts with </w:t>
      </w:r>
      <w:proofErr w:type="spellStart"/>
      <w:r>
        <w:t>Okoth</w:t>
      </w:r>
      <w:proofErr w:type="spellEnd"/>
      <w:r>
        <w:t xml:space="preserve"> and was experiencing difficulties raising teenage boys when dealing with a new culture, especially with English as a second language. The worker formed a deep connection and Aba and helped her recognise the impact of trauma and the effect it has had on the entire family. The worker suggested some parenting strategies to help to relieve conflict and reduce the instances of </w:t>
      </w:r>
      <w:proofErr w:type="spellStart"/>
      <w:r>
        <w:t>Okoth</w:t>
      </w:r>
      <w:proofErr w:type="spellEnd"/>
      <w:r>
        <w:t xml:space="preserve"> staying away from home with his friends and engaging in anti-social type offending. The worker also connected Aba with a range of supports, including low-cost legal support. </w:t>
      </w:r>
    </w:p>
    <w:p w14:paraId="71969386" w14:textId="77777777" w:rsidR="00116F23" w:rsidRDefault="00116F23" w:rsidP="004E2C9E">
      <w:pPr>
        <w:pStyle w:val="Box3List"/>
        <w:numPr>
          <w:ilvl w:val="0"/>
          <w:numId w:val="0"/>
        </w:numPr>
        <w:ind w:left="340"/>
      </w:pPr>
      <w:r>
        <w:t>Over time, Aba reported these parenting strategies were effective. While initially dismissive of the effects of trauma, Aba saw the value in this and asked the YSAS worker to meet with a group of other mothers from the local African-Australian community and discuss similar issues they experienced with their children.</w:t>
      </w:r>
    </w:p>
    <w:p w14:paraId="38A66494" w14:textId="3E3882D9" w:rsidR="00116F23" w:rsidRDefault="00116F23" w:rsidP="004E2C9E">
      <w:pPr>
        <w:pStyle w:val="Box3List"/>
        <w:numPr>
          <w:ilvl w:val="0"/>
          <w:numId w:val="0"/>
        </w:numPr>
        <w:ind w:left="340"/>
      </w:pPr>
      <w:proofErr w:type="spellStart"/>
      <w:r>
        <w:t>Okoth</w:t>
      </w:r>
      <w:proofErr w:type="spellEnd"/>
      <w:r>
        <w:t xml:space="preserve"> had been expelled from a local secondary college earlier in the year, but expressed interest in returning to school. The worker helped enrol </w:t>
      </w:r>
      <w:proofErr w:type="spellStart"/>
      <w:r>
        <w:t>Okoth</w:t>
      </w:r>
      <w:proofErr w:type="spellEnd"/>
      <w:r>
        <w:t xml:space="preserve"> in another school, however, shortly after </w:t>
      </w:r>
      <w:proofErr w:type="spellStart"/>
      <w:r>
        <w:t>Okoth</w:t>
      </w:r>
      <w:proofErr w:type="spellEnd"/>
      <w:r>
        <w:t xml:space="preserve"> was arrested for motor vehicle theft and remanded for two weeks. While t</w:t>
      </w:r>
      <w:r w:rsidR="00CC15F1">
        <w:t xml:space="preserve">he school accepted him back, </w:t>
      </w:r>
      <w:proofErr w:type="spellStart"/>
      <w:r w:rsidR="00CC15F1">
        <w:t>Ok</w:t>
      </w:r>
      <w:r>
        <w:t>oth</w:t>
      </w:r>
      <w:proofErr w:type="spellEnd"/>
      <w:r>
        <w:t xml:space="preserve"> was struggling to stay interested and engaged. Through their trusting relationship, the worker discovered </w:t>
      </w:r>
      <w:proofErr w:type="spellStart"/>
      <w:r>
        <w:t>Okoth</w:t>
      </w:r>
      <w:proofErr w:type="spellEnd"/>
      <w:r>
        <w:t xml:space="preserve"> wanted to become a builder so he could one day return to Sudan and rebuild his family village, destroyed in the civil war. The case worker helped </w:t>
      </w:r>
      <w:proofErr w:type="spellStart"/>
      <w:r>
        <w:t>Okoth</w:t>
      </w:r>
      <w:proofErr w:type="spellEnd"/>
      <w:r>
        <w:t xml:space="preserve"> enro</w:t>
      </w:r>
      <w:r w:rsidR="00CC15F1">
        <w:t>l</w:t>
      </w:r>
      <w:r>
        <w:t xml:space="preserve"> in a building course at a local TAFE and with the teacher developed strategies to engage and keep </w:t>
      </w:r>
      <w:proofErr w:type="spellStart"/>
      <w:r>
        <w:t>Okoth</w:t>
      </w:r>
      <w:proofErr w:type="spellEnd"/>
      <w:r>
        <w:t xml:space="preserve"> in the course. </w:t>
      </w:r>
      <w:proofErr w:type="spellStart"/>
      <w:r>
        <w:t>Okoth</w:t>
      </w:r>
      <w:proofErr w:type="spellEnd"/>
      <w:r>
        <w:t xml:space="preserve"> soon formed a genuine bond with the teacher, who stuck by him during this period. </w:t>
      </w:r>
      <w:proofErr w:type="spellStart"/>
      <w:r>
        <w:t>Okoth</w:t>
      </w:r>
      <w:proofErr w:type="spellEnd"/>
      <w:r>
        <w:t xml:space="preserve"> successfully completed the course and recently gained regular work with local builders, who are hoping to take him on as an apprentice.</w:t>
      </w:r>
    </w:p>
    <w:p w14:paraId="626D66FE" w14:textId="1A150753" w:rsidR="00116F23" w:rsidRPr="004E2C9E" w:rsidRDefault="00116F23" w:rsidP="004E2C9E">
      <w:pPr>
        <w:pStyle w:val="Box3List"/>
        <w:numPr>
          <w:ilvl w:val="0"/>
          <w:numId w:val="0"/>
        </w:numPr>
        <w:ind w:left="340"/>
        <w:rPr>
          <w:sz w:val="18"/>
          <w:szCs w:val="18"/>
        </w:rPr>
      </w:pPr>
      <w:r w:rsidRPr="004E2C9E">
        <w:rPr>
          <w:sz w:val="18"/>
          <w:szCs w:val="18"/>
        </w:rPr>
        <w:t>*names changed to protect identify</w:t>
      </w:r>
      <w:r w:rsidRPr="004E2C9E">
        <w:rPr>
          <w:sz w:val="18"/>
          <w:szCs w:val="18"/>
        </w:rPr>
        <w:tab/>
      </w:r>
    </w:p>
    <w:p w14:paraId="2E5DA52B" w14:textId="006A161D" w:rsidR="00EC34A5" w:rsidRDefault="00C30A78" w:rsidP="00654A97">
      <w:pPr>
        <w:pStyle w:val="Heading1"/>
      </w:pPr>
      <w:bookmarkStart w:id="26" w:name="_Toc476310203"/>
      <w:r>
        <w:lastRenderedPageBreak/>
        <w:t>Improve</w:t>
      </w:r>
      <w:r w:rsidR="00EC34A5">
        <w:t xml:space="preserve"> remand</w:t>
      </w:r>
      <w:r w:rsidR="00866A82">
        <w:t xml:space="preserve"> responses</w:t>
      </w:r>
      <w:bookmarkEnd w:id="26"/>
    </w:p>
    <w:p w14:paraId="27004B4B" w14:textId="68E370C9" w:rsidR="00EC34A5" w:rsidRDefault="00D74532" w:rsidP="00E72008">
      <w:pPr>
        <w:pStyle w:val="Heading2"/>
      </w:pPr>
      <w:bookmarkStart w:id="27" w:name="_Toc476310204"/>
      <w:r>
        <w:t xml:space="preserve">Reduce the </w:t>
      </w:r>
      <w:r w:rsidR="004E7DBB">
        <w:t>number</w:t>
      </w:r>
      <w:r w:rsidR="00EC34A5">
        <w:t xml:space="preserve"> o</w:t>
      </w:r>
      <w:r w:rsidR="00D569C3">
        <w:t xml:space="preserve">f young </w:t>
      </w:r>
      <w:r w:rsidR="00D569C3" w:rsidRPr="00E72008">
        <w:t>people on</w:t>
      </w:r>
      <w:r w:rsidR="00EC34A5" w:rsidRPr="00E72008">
        <w:t xml:space="preserve"> remand</w:t>
      </w:r>
      <w:bookmarkEnd w:id="27"/>
      <w:r w:rsidR="00EC34A5">
        <w:t xml:space="preserve"> </w:t>
      </w:r>
    </w:p>
    <w:p w14:paraId="317A2175" w14:textId="42DF30B8" w:rsidR="00D74532" w:rsidRPr="00D74532" w:rsidRDefault="00482690" w:rsidP="00ED2AB3">
      <w:pPr>
        <w:pStyle w:val="Boxheading"/>
      </w:pPr>
      <w:r>
        <w:t>Recommendations</w:t>
      </w:r>
    </w:p>
    <w:p w14:paraId="11C4128B" w14:textId="58B80EF3" w:rsidR="009B36D3" w:rsidRPr="00482690" w:rsidRDefault="009B36D3" w:rsidP="009E736B">
      <w:pPr>
        <w:pStyle w:val="Boxlist"/>
        <w:ind w:left="851" w:hanging="425"/>
      </w:pPr>
      <w:r w:rsidRPr="00482690">
        <w:t xml:space="preserve">Provide bail support and services </w:t>
      </w:r>
      <w:r w:rsidR="004E7DBB">
        <w:t>allowing</w:t>
      </w:r>
      <w:r w:rsidRPr="00482690">
        <w:t xml:space="preserve"> young people to remain in their community, whe</w:t>
      </w:r>
      <w:r w:rsidR="004E7DBB">
        <w:t>never</w:t>
      </w:r>
      <w:r w:rsidR="004E2C9E">
        <w:t xml:space="preserve"> appropriate</w:t>
      </w:r>
    </w:p>
    <w:p w14:paraId="10E3A00E" w14:textId="28226488" w:rsidR="00D74532" w:rsidRPr="00482690" w:rsidRDefault="004E7DBB" w:rsidP="009E736B">
      <w:pPr>
        <w:pStyle w:val="Boxlist"/>
        <w:ind w:left="851" w:hanging="425"/>
      </w:pPr>
      <w:r>
        <w:t>Speed up</w:t>
      </w:r>
      <w:r w:rsidR="00D74532" w:rsidRPr="00482690">
        <w:t xml:space="preserve"> </w:t>
      </w:r>
      <w:r>
        <w:t xml:space="preserve">the Court’s ability to process </w:t>
      </w:r>
      <w:r w:rsidR="00D74532" w:rsidRPr="00482690">
        <w:t xml:space="preserve">remand </w:t>
      </w:r>
      <w:r>
        <w:t>cases</w:t>
      </w:r>
    </w:p>
    <w:p w14:paraId="5907D936" w14:textId="77777777" w:rsidR="003E7585" w:rsidRDefault="003E7585" w:rsidP="00030B54"/>
    <w:p w14:paraId="69624E69" w14:textId="2AB9FE0F" w:rsidR="00D569C3" w:rsidRDefault="004E7DBB" w:rsidP="00030B54">
      <w:pPr>
        <w:rPr>
          <w:shd w:val="clear" w:color="auto" w:fill="FFFFFF"/>
        </w:rPr>
      </w:pPr>
      <w:r>
        <w:t>When</w:t>
      </w:r>
      <w:r w:rsidR="00EC34A5" w:rsidRPr="00804E58">
        <w:t xml:space="preserve"> a young person is arrested for a suspected criminal offence, they can be held in custody on remand before entering a plea, while awaiting trial, during trial or awaiting sentence.</w:t>
      </w:r>
      <w:r w:rsidR="00EC34A5" w:rsidRPr="007D07EA">
        <w:rPr>
          <w:vertAlign w:val="superscript"/>
        </w:rPr>
        <w:footnoteReference w:id="161"/>
      </w:r>
      <w:r w:rsidR="00EC34A5" w:rsidRPr="007D07EA">
        <w:rPr>
          <w:vertAlign w:val="superscript"/>
        </w:rPr>
        <w:t xml:space="preserve"> </w:t>
      </w:r>
      <w:r w:rsidR="00EC34A5">
        <w:t xml:space="preserve">The number of young people on remand </w:t>
      </w:r>
      <w:r w:rsidR="007354D3">
        <w:t>has</w:t>
      </w:r>
      <w:r>
        <w:t xml:space="preserve"> </w:t>
      </w:r>
      <w:r w:rsidR="007354D3">
        <w:t>more than doubled in</w:t>
      </w:r>
      <w:r w:rsidR="00482690">
        <w:t xml:space="preserve"> the last 5 years. </w:t>
      </w:r>
      <w:r>
        <w:t>T</w:t>
      </w:r>
      <w:r w:rsidR="00EC34A5">
        <w:t xml:space="preserve">he </w:t>
      </w:r>
      <w:r>
        <w:t xml:space="preserve">average </w:t>
      </w:r>
      <w:r w:rsidR="00EC34A5">
        <w:t xml:space="preserve">number of </w:t>
      </w:r>
      <w:r>
        <w:t xml:space="preserve">young people on remand on any given night </w:t>
      </w:r>
      <w:r w:rsidR="00EC34A5">
        <w:t>in Victoria rose from 35 in 2012</w:t>
      </w:r>
      <w:r>
        <w:t>,</w:t>
      </w:r>
      <w:r w:rsidR="00EC34A5">
        <w:t xml:space="preserve"> to 62 in 2015, and to 71 in 2016.</w:t>
      </w:r>
      <w:r w:rsidR="00EC34A5">
        <w:rPr>
          <w:rStyle w:val="FootnoteReference"/>
        </w:rPr>
        <w:footnoteReference w:id="162"/>
      </w:r>
      <w:r w:rsidR="00EC34A5">
        <w:t xml:space="preserve"> </w:t>
      </w:r>
      <w:r w:rsidR="00D569C3">
        <w:t xml:space="preserve">Completed periods of remand are more likely to be followed by a community-based sentence in </w:t>
      </w:r>
      <w:r w:rsidR="00D569C3" w:rsidRPr="00455DC5">
        <w:t>Victoria,</w:t>
      </w:r>
      <w:r w:rsidR="00D569C3" w:rsidRPr="00455DC5">
        <w:rPr>
          <w:rStyle w:val="FootnoteReference"/>
        </w:rPr>
        <w:footnoteReference w:id="163"/>
      </w:r>
      <w:r w:rsidR="00D569C3">
        <w:rPr>
          <w:lang w:val="en-AU"/>
        </w:rPr>
        <w:t xml:space="preserve"> indicat</w:t>
      </w:r>
      <w:r w:rsidR="007F04C0">
        <w:rPr>
          <w:lang w:val="en-AU"/>
        </w:rPr>
        <w:t>ing</w:t>
      </w:r>
      <w:r w:rsidR="00D569C3">
        <w:rPr>
          <w:lang w:val="en-AU"/>
        </w:rPr>
        <w:t xml:space="preserve"> </w:t>
      </w:r>
      <w:r w:rsidR="007F04C0">
        <w:rPr>
          <w:lang w:val="en-AU"/>
        </w:rPr>
        <w:t xml:space="preserve">any </w:t>
      </w:r>
      <w:r w:rsidR="00D569C3">
        <w:rPr>
          <w:lang w:val="en-AU"/>
        </w:rPr>
        <w:t xml:space="preserve">threat to community safety is not </w:t>
      </w:r>
      <w:r w:rsidR="007F04C0">
        <w:rPr>
          <w:lang w:val="en-AU"/>
        </w:rPr>
        <w:t>driving</w:t>
      </w:r>
      <w:r w:rsidR="00D569C3">
        <w:rPr>
          <w:lang w:val="en-AU"/>
        </w:rPr>
        <w:t xml:space="preserve"> th</w:t>
      </w:r>
      <w:r w:rsidR="007F04C0">
        <w:rPr>
          <w:lang w:val="en-AU"/>
        </w:rPr>
        <w:t>e</w:t>
      </w:r>
      <w:r w:rsidR="00D569C3">
        <w:rPr>
          <w:lang w:val="en-AU"/>
        </w:rPr>
        <w:t xml:space="preserve"> increase.</w:t>
      </w:r>
      <w:r w:rsidR="00843B65">
        <w:rPr>
          <w:lang w:val="en-AU"/>
        </w:rPr>
        <w:t xml:space="preserve"> </w:t>
      </w:r>
    </w:p>
    <w:p w14:paraId="1CBF0A8F" w14:textId="72E632B1" w:rsidR="00D569C3" w:rsidRPr="00516965" w:rsidRDefault="007F04C0" w:rsidP="00030B54">
      <w:r>
        <w:t xml:space="preserve">Rather, </w:t>
      </w:r>
      <w:r w:rsidR="00EC34A5">
        <w:t xml:space="preserve">VCOSS members report </w:t>
      </w:r>
      <w:r>
        <w:t>it</w:t>
      </w:r>
      <w:r w:rsidR="00EC34A5">
        <w:t xml:space="preserve"> largely result</w:t>
      </w:r>
      <w:r>
        <w:t>s</w:t>
      </w:r>
      <w:r w:rsidR="00EC34A5">
        <w:t xml:space="preserve"> </w:t>
      </w:r>
      <w:r>
        <w:t>from 2013 Bail Act</w:t>
      </w:r>
      <w:r w:rsidR="00EC34A5">
        <w:t xml:space="preserve"> changes </w:t>
      </w:r>
      <w:r>
        <w:t>making</w:t>
      </w:r>
      <w:r w:rsidR="00EC34A5" w:rsidRPr="00DF1130">
        <w:t xml:space="preserve"> </w:t>
      </w:r>
      <w:r w:rsidRPr="00DF1130">
        <w:t xml:space="preserve">bail condition </w:t>
      </w:r>
      <w:r>
        <w:t xml:space="preserve">breaches </w:t>
      </w:r>
      <w:r w:rsidR="00EC34A5" w:rsidRPr="00DF1130">
        <w:t xml:space="preserve">an </w:t>
      </w:r>
      <w:proofErr w:type="gramStart"/>
      <w:r w:rsidR="00EC34A5" w:rsidRPr="00DF1130">
        <w:t>offence</w:t>
      </w:r>
      <w:r w:rsidR="00EC34A5">
        <w:t>.</w:t>
      </w:r>
      <w:r w:rsidR="00EC34A5" w:rsidRPr="00030B54">
        <w:rPr>
          <w:rStyle w:val="FootnoteReference"/>
          <w:szCs w:val="22"/>
        </w:rPr>
        <w:footnoteReference w:id="164"/>
      </w:r>
      <w:r w:rsidR="00030B54">
        <w:rPr>
          <w:szCs w:val="22"/>
          <w:vertAlign w:val="superscript"/>
        </w:rPr>
        <w:t>,</w:t>
      </w:r>
      <w:proofErr w:type="gramEnd"/>
      <w:r w:rsidR="00D569C3" w:rsidRPr="00030B54">
        <w:rPr>
          <w:rStyle w:val="FootnoteReference"/>
          <w:szCs w:val="22"/>
          <w:lang w:val="en-AU"/>
        </w:rPr>
        <w:footnoteReference w:id="165"/>
      </w:r>
      <w:r w:rsidR="00EC34A5">
        <w:t xml:space="preserve"> </w:t>
      </w:r>
      <w:r w:rsidR="00EC34A5" w:rsidRPr="003323B1">
        <w:t xml:space="preserve">These </w:t>
      </w:r>
      <w:r w:rsidR="003323B1" w:rsidRPr="003323B1">
        <w:t>c</w:t>
      </w:r>
      <w:r w:rsidR="00EC34A5" w:rsidRPr="003323B1">
        <w:t xml:space="preserve">hanges </w:t>
      </w:r>
      <w:r>
        <w:t>mean</w:t>
      </w:r>
      <w:r w:rsidR="00EC34A5" w:rsidRPr="003323B1">
        <w:t xml:space="preserve"> children </w:t>
      </w:r>
      <w:r>
        <w:t xml:space="preserve">are </w:t>
      </w:r>
      <w:r w:rsidR="00EC34A5" w:rsidRPr="003323B1">
        <w:t xml:space="preserve">remanded for minor or ‘technical’ </w:t>
      </w:r>
      <w:r w:rsidRPr="003323B1">
        <w:t xml:space="preserve">bail </w:t>
      </w:r>
      <w:r w:rsidR="00EC34A5" w:rsidRPr="003323B1">
        <w:t>breaches</w:t>
      </w:r>
      <w:r w:rsidRPr="007F04C0">
        <w:t xml:space="preserve"> </w:t>
      </w:r>
      <w:r w:rsidRPr="003323B1">
        <w:t xml:space="preserve">such as </w:t>
      </w:r>
      <w:r>
        <w:t>a curfew breach. These minor breaches do not involve </w:t>
      </w:r>
      <w:r w:rsidRPr="003323B1">
        <w:t>new charges</w:t>
      </w:r>
      <w:r w:rsidR="003323B1">
        <w:t>,</w:t>
      </w:r>
      <w:r w:rsidR="00EC34A5" w:rsidRPr="003323B1">
        <w:t xml:space="preserve"> </w:t>
      </w:r>
      <w:r>
        <w:t>and do</w:t>
      </w:r>
      <w:r w:rsidR="00D569C3">
        <w:t xml:space="preserve"> not cause harm or affect</w:t>
      </w:r>
      <w:r w:rsidR="00EC34A5" w:rsidRPr="003323B1">
        <w:t xml:space="preserve"> community safety</w:t>
      </w:r>
      <w:r>
        <w:t>.</w:t>
      </w:r>
      <w:r w:rsidR="00EC34A5" w:rsidRPr="003323B1">
        <w:rPr>
          <w:vertAlign w:val="superscript"/>
        </w:rPr>
        <w:footnoteReference w:id="166"/>
      </w:r>
      <w:r w:rsidR="00EC34A5" w:rsidRPr="003323B1">
        <w:rPr>
          <w:vertAlign w:val="superscript"/>
        </w:rPr>
        <w:t xml:space="preserve"> </w:t>
      </w:r>
      <w:r>
        <w:t>VCOSS m</w:t>
      </w:r>
      <w:r w:rsidRPr="00516965">
        <w:t>embers</w:t>
      </w:r>
      <w:r>
        <w:t xml:space="preserve"> </w:t>
      </w:r>
      <w:r w:rsidR="003323B1">
        <w:t xml:space="preserve">also report people with cognitive impartment may not understand their bail conditions and </w:t>
      </w:r>
      <w:r>
        <w:t>are more</w:t>
      </w:r>
      <w:r w:rsidR="003323B1">
        <w:t xml:space="preserve"> likely to breach </w:t>
      </w:r>
      <w:r>
        <w:t>them</w:t>
      </w:r>
      <w:r w:rsidR="003323B1">
        <w:t xml:space="preserve">. </w:t>
      </w:r>
    </w:p>
    <w:p w14:paraId="7FDA1322" w14:textId="04339FDF" w:rsidR="00B356F4" w:rsidRPr="00030B54" w:rsidRDefault="003323B1" w:rsidP="00030B54">
      <w:r w:rsidRPr="00030B54">
        <w:t>Bail amendments in 2016</w:t>
      </w:r>
      <w:r w:rsidR="00EC34A5" w:rsidRPr="00030B54">
        <w:t xml:space="preserve"> reversed some of the changes</w:t>
      </w:r>
      <w:r w:rsidR="007F04C0">
        <w:t>,</w:t>
      </w:r>
      <w:r w:rsidR="00EC34A5" w:rsidRPr="00030B54">
        <w:t xml:space="preserve"> </w:t>
      </w:r>
      <w:r w:rsidR="007F04C0">
        <w:t>meaning</w:t>
      </w:r>
      <w:r w:rsidR="00EC34A5" w:rsidRPr="00030B54">
        <w:t xml:space="preserve"> children are no longer charged with breaching bail conditions, however re</w:t>
      </w:r>
      <w:r w:rsidR="00961A53" w:rsidRPr="00030B54">
        <w:t>mand figures have r</w:t>
      </w:r>
      <w:r w:rsidR="00030B54" w:rsidRPr="00030B54">
        <w:t>emained high. A</w:t>
      </w:r>
      <w:r w:rsidRPr="00030B54">
        <w:t xml:space="preserve">s of </w:t>
      </w:r>
      <w:r w:rsidR="00B356F4" w:rsidRPr="00030B54">
        <w:t>January 2017 nearly half of all young people in youth justice centres were on remand</w:t>
      </w:r>
      <w:r w:rsidR="00961A53" w:rsidRPr="00030B54">
        <w:t>.</w:t>
      </w:r>
      <w:r w:rsidR="00961A53" w:rsidRPr="00030B54">
        <w:rPr>
          <w:vertAlign w:val="superscript"/>
        </w:rPr>
        <w:footnoteReference w:id="167"/>
      </w:r>
    </w:p>
    <w:p w14:paraId="45F852E5" w14:textId="3573C578" w:rsidR="007E7FE5" w:rsidRDefault="007E7FE5" w:rsidP="001213E5">
      <w:pPr>
        <w:rPr>
          <w:lang w:val="en-AU"/>
        </w:rPr>
      </w:pPr>
      <w:r>
        <w:rPr>
          <w:lang w:val="en-AU"/>
        </w:rPr>
        <w:t>Some young people are held on remand, rather than granted bail</w:t>
      </w:r>
      <w:r w:rsidR="00D61C71">
        <w:rPr>
          <w:lang w:val="en-AU"/>
        </w:rPr>
        <w:t>,</w:t>
      </w:r>
      <w:r>
        <w:rPr>
          <w:lang w:val="en-AU"/>
        </w:rPr>
        <w:t xml:space="preserve"> because of an inability to m</w:t>
      </w:r>
      <w:r w:rsidR="00D61C71">
        <w:rPr>
          <w:lang w:val="en-AU"/>
        </w:rPr>
        <w:t>eet strict bail conditions</w:t>
      </w:r>
      <w:r>
        <w:rPr>
          <w:lang w:val="en-AU"/>
        </w:rPr>
        <w:t xml:space="preserve"> or </w:t>
      </w:r>
      <w:r w:rsidR="00D61C71">
        <w:rPr>
          <w:lang w:val="en-AU"/>
        </w:rPr>
        <w:t>inadequate</w:t>
      </w:r>
      <w:r>
        <w:rPr>
          <w:lang w:val="en-AU"/>
        </w:rPr>
        <w:t xml:space="preserve"> support </w:t>
      </w:r>
      <w:r w:rsidR="00D61C71">
        <w:rPr>
          <w:lang w:val="en-AU"/>
        </w:rPr>
        <w:t>in particular, a lack of</w:t>
      </w:r>
      <w:r>
        <w:rPr>
          <w:lang w:val="en-AU"/>
        </w:rPr>
        <w:t xml:space="preserve"> appropriate accommodation</w:t>
      </w:r>
      <w:r w:rsidR="00D61C71">
        <w:rPr>
          <w:lang w:val="en-AU"/>
        </w:rPr>
        <w:t xml:space="preserve"> or no </w:t>
      </w:r>
      <w:r w:rsidR="00D61C71">
        <w:rPr>
          <w:lang w:val="en-AU"/>
        </w:rPr>
        <w:lastRenderedPageBreak/>
        <w:t>family support or other adult supervision available</w:t>
      </w:r>
      <w:r>
        <w:rPr>
          <w:lang w:val="en-AU"/>
        </w:rPr>
        <w:t>.</w:t>
      </w:r>
      <w:r w:rsidR="00D61C71">
        <w:rPr>
          <w:rStyle w:val="FootnoteReference"/>
          <w:rFonts w:ascii="GillSansStd-Light" w:hAnsi="GillSansStd-Light" w:cs="GillSansStd-Light"/>
          <w:sz w:val="20"/>
          <w:lang w:val="en-AU"/>
        </w:rPr>
        <w:footnoteReference w:id="168"/>
      </w:r>
      <w:r w:rsidR="00D61C71" w:rsidRPr="00D61C71">
        <w:t xml:space="preserve"> </w:t>
      </w:r>
      <w:r w:rsidR="00D61C71">
        <w:t xml:space="preserve">Members also report there is </w:t>
      </w:r>
      <w:r w:rsidR="00D61C71" w:rsidRPr="007B1409">
        <w:t>inadequate afterhours bail services, and limited bail services in rural areas</w:t>
      </w:r>
      <w:r w:rsidR="00D61C71">
        <w:t xml:space="preserve">, which </w:t>
      </w:r>
      <w:r w:rsidR="007667F2">
        <w:t>can contribute to high numbers of children and young people being remanded in custody</w:t>
      </w:r>
      <w:r w:rsidR="00D61C71" w:rsidRPr="007B1409">
        <w:t>.</w:t>
      </w:r>
      <w:r w:rsidR="00D61C71" w:rsidRPr="00030B54">
        <w:rPr>
          <w:rStyle w:val="FootnoteReference"/>
          <w:szCs w:val="22"/>
        </w:rPr>
        <w:footnoteReference w:id="169"/>
      </w:r>
      <w:r w:rsidR="00D61C71" w:rsidRPr="00934B56">
        <w:rPr>
          <w:szCs w:val="22"/>
        </w:rPr>
        <w:t xml:space="preserve"> </w:t>
      </w:r>
      <w:r w:rsidR="00D61C71" w:rsidRPr="007B1409">
        <w:t xml:space="preserve">VCOSS members report some young people </w:t>
      </w:r>
      <w:r w:rsidR="00D61C71">
        <w:t>are</w:t>
      </w:r>
      <w:r w:rsidR="00D61C71" w:rsidRPr="007B1409">
        <w:t xml:space="preserve"> remand</w:t>
      </w:r>
      <w:r w:rsidR="00D61C71">
        <w:t>ed in custody</w:t>
      </w:r>
      <w:r w:rsidR="00D61C71" w:rsidRPr="007B1409">
        <w:t xml:space="preserve"> </w:t>
      </w:r>
      <w:r w:rsidR="00D61C71">
        <w:t>by accumulating multiple</w:t>
      </w:r>
      <w:r w:rsidR="00D61C71" w:rsidRPr="007B1409">
        <w:t xml:space="preserve"> minor offences</w:t>
      </w:r>
      <w:r w:rsidR="00D61C71">
        <w:t>,</w:t>
      </w:r>
      <w:r w:rsidR="00D61C71" w:rsidRPr="007B1409">
        <w:t xml:space="preserve"> </w:t>
      </w:r>
      <w:r w:rsidR="00D61C71">
        <w:t>when no diversion or support was provided</w:t>
      </w:r>
      <w:r w:rsidR="00D61C71" w:rsidRPr="007B1409">
        <w:t>.</w:t>
      </w:r>
    </w:p>
    <w:p w14:paraId="48DD088C" w14:textId="0834CA3C" w:rsidR="00961A53" w:rsidRDefault="007354D3" w:rsidP="00030B54">
      <w:r>
        <w:t>W</w:t>
      </w:r>
      <w:r w:rsidR="001B28EA" w:rsidRPr="007B1409">
        <w:t>ell-resourced</w:t>
      </w:r>
      <w:r w:rsidR="00D74532" w:rsidRPr="007B1409">
        <w:t xml:space="preserve"> bail </w:t>
      </w:r>
      <w:r w:rsidR="00934B56">
        <w:t>support which</w:t>
      </w:r>
      <w:r w:rsidR="001B28EA" w:rsidRPr="007B1409">
        <w:t xml:space="preserve"> </w:t>
      </w:r>
      <w:r w:rsidR="00934B56" w:rsidRPr="00030B54">
        <w:t xml:space="preserve">help young people obtain bail and meet bail conditions </w:t>
      </w:r>
      <w:r w:rsidR="00934B56">
        <w:t xml:space="preserve">can </w:t>
      </w:r>
      <w:r w:rsidR="00DA7FE5">
        <w:t>help young people</w:t>
      </w:r>
      <w:r w:rsidR="00DA7FE5" w:rsidRPr="00DA7FE5">
        <w:rPr>
          <w:rFonts w:eastAsia="Times New Roman" w:cs="Times New Roman"/>
          <w:lang w:eastAsia="en-AU"/>
        </w:rPr>
        <w:t xml:space="preserve"> </w:t>
      </w:r>
      <w:r w:rsidR="00DA7FE5">
        <w:rPr>
          <w:rFonts w:eastAsia="Times New Roman" w:cs="Times New Roman"/>
          <w:lang w:eastAsia="en-AU"/>
        </w:rPr>
        <w:t xml:space="preserve">remain within their community, </w:t>
      </w:r>
      <w:r w:rsidR="001B28EA" w:rsidRPr="007B1409">
        <w:t>reduc</w:t>
      </w:r>
      <w:r w:rsidR="00DA7FE5">
        <w:t>ing</w:t>
      </w:r>
      <w:r w:rsidR="001B28EA" w:rsidRPr="007B1409">
        <w:t xml:space="preserve"> the numbers</w:t>
      </w:r>
      <w:r w:rsidR="00895ED8" w:rsidRPr="007B1409">
        <w:t xml:space="preserve"> </w:t>
      </w:r>
      <w:r w:rsidR="001B28EA" w:rsidRPr="007B1409">
        <w:t xml:space="preserve">held on remand. </w:t>
      </w:r>
      <w:r w:rsidR="00370818">
        <w:t>Making b</w:t>
      </w:r>
      <w:r w:rsidR="00D61C71">
        <w:t>ail services</w:t>
      </w:r>
      <w:r w:rsidR="001B28EA" w:rsidRPr="007B1409">
        <w:t xml:space="preserve"> available afterhours and on weekends and available equitably throughout</w:t>
      </w:r>
      <w:r w:rsidR="00873CBE" w:rsidRPr="007B1409">
        <w:t xml:space="preserve"> Victoria</w:t>
      </w:r>
      <w:r w:rsidR="00D61C71">
        <w:t xml:space="preserve">, </w:t>
      </w:r>
      <w:r w:rsidR="00370818">
        <w:t xml:space="preserve">will help young people </w:t>
      </w:r>
      <w:r w:rsidR="00370818" w:rsidRPr="001213E5">
        <w:t>arrested out-of-hours or in rural areas</w:t>
      </w:r>
      <w:r w:rsidR="00370818">
        <w:rPr>
          <w:rFonts w:ascii="Raleway" w:hAnsi="Raleway"/>
          <w:color w:val="1D1D1D"/>
        </w:rPr>
        <w:t xml:space="preserve"> </w:t>
      </w:r>
      <w:r w:rsidR="00370818">
        <w:t>to access bail supports</w:t>
      </w:r>
      <w:r w:rsidR="00873CBE" w:rsidRPr="007B1409">
        <w:t xml:space="preserve">. </w:t>
      </w:r>
      <w:r w:rsidR="008527CD">
        <w:t xml:space="preserve">Providing </w:t>
      </w:r>
      <w:r w:rsidR="00D61C71">
        <w:t xml:space="preserve">well-resourced </w:t>
      </w:r>
      <w:r w:rsidR="008527CD">
        <w:t xml:space="preserve">holistic </w:t>
      </w:r>
      <w:r w:rsidR="00D61C71">
        <w:t>bail</w:t>
      </w:r>
      <w:r w:rsidR="001B28EA" w:rsidRPr="007B1409">
        <w:t xml:space="preserve"> support </w:t>
      </w:r>
      <w:r w:rsidR="008527CD">
        <w:t xml:space="preserve">can help young people </w:t>
      </w:r>
      <w:r w:rsidR="00D61C71">
        <w:t>meet their bail conditions</w:t>
      </w:r>
      <w:r w:rsidR="00370818">
        <w:t>,</w:t>
      </w:r>
      <w:r w:rsidR="00D61C71">
        <w:t xml:space="preserve"> and help </w:t>
      </w:r>
      <w:r w:rsidR="008527CD">
        <w:t xml:space="preserve">address the </w:t>
      </w:r>
      <w:r w:rsidR="00D61C71">
        <w:t>underlying</w:t>
      </w:r>
      <w:r w:rsidR="008527CD">
        <w:t xml:space="preserve"> issues of their offending, </w:t>
      </w:r>
      <w:r w:rsidR="00D74532" w:rsidRPr="007B1409">
        <w:t>case</w:t>
      </w:r>
      <w:r w:rsidR="001B28EA" w:rsidRPr="007B1409">
        <w:t xml:space="preserve"> manag</w:t>
      </w:r>
      <w:r w:rsidR="00961A53" w:rsidRPr="007B1409">
        <w:t>ement,</w:t>
      </w:r>
      <w:r w:rsidR="001B28EA" w:rsidRPr="007B1409">
        <w:t xml:space="preserve"> assistance with accommodation</w:t>
      </w:r>
      <w:r w:rsidR="00D74532" w:rsidRPr="007B1409">
        <w:t xml:space="preserve">, </w:t>
      </w:r>
      <w:r w:rsidR="001B28EA" w:rsidRPr="007B1409">
        <w:t>reengagement in education and employment</w:t>
      </w:r>
      <w:r w:rsidR="00D74532" w:rsidRPr="007B1409">
        <w:t>, mental health and AOD</w:t>
      </w:r>
      <w:r w:rsidR="00961A53" w:rsidRPr="007B1409">
        <w:t xml:space="preserve"> support</w:t>
      </w:r>
      <w:r w:rsidR="00D74532" w:rsidRPr="007B1409">
        <w:t xml:space="preserve">, and </w:t>
      </w:r>
      <w:r w:rsidR="00961A53" w:rsidRPr="007B1409">
        <w:t xml:space="preserve">family support. VCOSS welcomes the </w:t>
      </w:r>
      <w:r>
        <w:t xml:space="preserve">Victorian </w:t>
      </w:r>
      <w:r w:rsidR="00961A53" w:rsidRPr="007B1409">
        <w:t xml:space="preserve">government’s commitment to expand the Youth Justice Bail Supervision scheme state-wide and expand </w:t>
      </w:r>
      <w:r w:rsidR="00682F59" w:rsidRPr="007B1409">
        <w:t xml:space="preserve">the </w:t>
      </w:r>
      <w:r w:rsidR="00961A53" w:rsidRPr="007B1409">
        <w:t xml:space="preserve">Central </w:t>
      </w:r>
      <w:proofErr w:type="gramStart"/>
      <w:r w:rsidR="00961A53" w:rsidRPr="007B1409">
        <w:t>After</w:t>
      </w:r>
      <w:proofErr w:type="gramEnd"/>
      <w:r w:rsidR="00961A53" w:rsidRPr="007B1409">
        <w:t xml:space="preserve"> Hours Assessment and Bail Placement Service</w:t>
      </w:r>
      <w:r>
        <w:t>, helping reduce support gaps</w:t>
      </w:r>
      <w:r w:rsidR="00961A53" w:rsidRPr="007B1409">
        <w:t>.</w:t>
      </w:r>
      <w:r w:rsidR="00961A53" w:rsidRPr="00030B54">
        <w:t xml:space="preserve"> </w:t>
      </w:r>
    </w:p>
    <w:p w14:paraId="4AECB39F" w14:textId="0445403D" w:rsidR="007F04C0" w:rsidRDefault="009B36D3" w:rsidP="00030B54">
      <w:r w:rsidRPr="00030B54">
        <w:t>VCOSS members report lengthy delays in court processes</w:t>
      </w:r>
      <w:r w:rsidR="00682F59" w:rsidRPr="00030B54">
        <w:t>,</w:t>
      </w:r>
      <w:r w:rsidRPr="00030B54">
        <w:t xml:space="preserve"> increas</w:t>
      </w:r>
      <w:r w:rsidR="00682F59" w:rsidRPr="00030B54">
        <w:t>ing</w:t>
      </w:r>
      <w:r w:rsidRPr="00030B54">
        <w:t xml:space="preserve"> the ti</w:t>
      </w:r>
      <w:r w:rsidR="00682F59" w:rsidRPr="00030B54">
        <w:t>me young people spend on remand</w:t>
      </w:r>
      <w:r w:rsidRPr="00030B54">
        <w:t>.</w:t>
      </w:r>
      <w:r w:rsidR="008527CD" w:rsidRPr="007D07EA">
        <w:rPr>
          <w:vertAlign w:val="superscript"/>
        </w:rPr>
        <w:footnoteReference w:id="170"/>
      </w:r>
      <w:r w:rsidR="008527CD" w:rsidRPr="007D07EA">
        <w:rPr>
          <w:vertAlign w:val="superscript"/>
        </w:rPr>
        <w:t xml:space="preserve"> </w:t>
      </w:r>
      <w:r w:rsidRPr="00030B54">
        <w:t xml:space="preserve"> </w:t>
      </w:r>
      <w:r w:rsidR="007354D3">
        <w:t>Faster</w:t>
      </w:r>
      <w:r w:rsidR="007354D3" w:rsidRPr="00030B54">
        <w:t xml:space="preserve"> </w:t>
      </w:r>
      <w:r w:rsidRPr="00030B54">
        <w:t xml:space="preserve">court decisions reduce the time </w:t>
      </w:r>
      <w:r w:rsidR="007354D3">
        <w:t>spent</w:t>
      </w:r>
      <w:r w:rsidRPr="00030B54">
        <w:t xml:space="preserve"> on remand</w:t>
      </w:r>
      <w:r w:rsidR="007354D3">
        <w:t>,</w:t>
      </w:r>
      <w:r w:rsidRPr="00030B54">
        <w:t xml:space="preserve"> </w:t>
      </w:r>
      <w:r w:rsidR="007354D3">
        <w:t>meaning fewer custodial places are required in youth justice facilities</w:t>
      </w:r>
      <w:r w:rsidRPr="00030B54">
        <w:t xml:space="preserve">. </w:t>
      </w:r>
    </w:p>
    <w:p w14:paraId="1D24CC87" w14:textId="77777777" w:rsidR="003E7585" w:rsidRDefault="003E7585" w:rsidP="00E72008">
      <w:pPr>
        <w:pStyle w:val="Heading2"/>
      </w:pPr>
      <w:bookmarkStart w:id="28" w:name="_Toc476310205"/>
    </w:p>
    <w:p w14:paraId="4550C5A7" w14:textId="6693FE81" w:rsidR="00EC34A5" w:rsidRDefault="00D74532" w:rsidP="00E72008">
      <w:pPr>
        <w:pStyle w:val="Heading2"/>
      </w:pPr>
      <w:r>
        <w:t xml:space="preserve">Provide </w:t>
      </w:r>
      <w:r w:rsidR="00E72008">
        <w:t>holistic support</w:t>
      </w:r>
      <w:r>
        <w:t xml:space="preserve"> to young people on remand</w:t>
      </w:r>
      <w:bookmarkEnd w:id="28"/>
      <w:r>
        <w:t xml:space="preserve"> </w:t>
      </w:r>
    </w:p>
    <w:p w14:paraId="525C2D1A" w14:textId="0B12EC73" w:rsidR="00625801" w:rsidRPr="00482690" w:rsidRDefault="00625801" w:rsidP="00482690">
      <w:pPr>
        <w:pStyle w:val="Boxlist"/>
        <w:numPr>
          <w:ilvl w:val="0"/>
          <w:numId w:val="0"/>
        </w:numPr>
        <w:ind w:left="784" w:hanging="360"/>
        <w:rPr>
          <w:b/>
        </w:rPr>
      </w:pPr>
      <w:r w:rsidRPr="00482690">
        <w:rPr>
          <w:b/>
        </w:rPr>
        <w:t>Recommendation</w:t>
      </w:r>
    </w:p>
    <w:p w14:paraId="63B7BF12" w14:textId="6CA7FE84" w:rsidR="00D74532" w:rsidRPr="00482690" w:rsidRDefault="00D74532" w:rsidP="00E70ECF">
      <w:pPr>
        <w:pStyle w:val="Boxlist"/>
        <w:ind w:left="851" w:hanging="425"/>
      </w:pPr>
      <w:r w:rsidRPr="00482690">
        <w:t xml:space="preserve">Provide </w:t>
      </w:r>
      <w:r w:rsidR="00625801" w:rsidRPr="00482690">
        <w:t xml:space="preserve">comprehensive </w:t>
      </w:r>
      <w:r w:rsidRPr="00482690">
        <w:t>services and support to young people on remand</w:t>
      </w:r>
      <w:r w:rsidR="00482690">
        <w:t>.</w:t>
      </w:r>
    </w:p>
    <w:p w14:paraId="27C71DB4" w14:textId="77777777" w:rsidR="003E7585" w:rsidRDefault="003E7585" w:rsidP="00EC34A5"/>
    <w:p w14:paraId="1D2FBA3B" w14:textId="4309DA40" w:rsidR="00EC34A5" w:rsidRDefault="001F4A7D" w:rsidP="00EC34A5">
      <w:pPr>
        <w:rPr>
          <w:vertAlign w:val="superscript"/>
        </w:rPr>
      </w:pPr>
      <w:r>
        <w:t>Being r</w:t>
      </w:r>
      <w:r w:rsidR="00EC34A5" w:rsidRPr="00257D40">
        <w:t>emand</w:t>
      </w:r>
      <w:r>
        <w:t>ed in custody</w:t>
      </w:r>
      <w:r w:rsidR="00EC34A5" w:rsidRPr="00257D40">
        <w:t xml:space="preserve"> significantly</w:t>
      </w:r>
      <w:r w:rsidR="00EC34A5">
        <w:t xml:space="preserve"> affects young people’s lives, </w:t>
      </w:r>
      <w:r w:rsidR="00EC34A5" w:rsidRPr="00873CBE">
        <w:t>separating them from family, friends and community and disrupting education or employment.</w:t>
      </w:r>
      <w:r w:rsidR="00EC34A5" w:rsidRPr="00873CBE">
        <w:rPr>
          <w:vertAlign w:val="superscript"/>
        </w:rPr>
        <w:footnoteReference w:id="171"/>
      </w:r>
      <w:r w:rsidR="00EC34A5" w:rsidRPr="00873CBE">
        <w:t xml:space="preserve"> While on remand, young people </w:t>
      </w:r>
      <w:r>
        <w:t>cannot</w:t>
      </w:r>
      <w:r w:rsidR="00EC34A5" w:rsidRPr="00873CBE">
        <w:t xml:space="preserve"> access some services and support</w:t>
      </w:r>
      <w:r w:rsidR="00406A49">
        <w:t xml:space="preserve"> </w:t>
      </w:r>
      <w:r>
        <w:t>available to</w:t>
      </w:r>
      <w:r w:rsidRPr="00873CBE">
        <w:t xml:space="preserve"> </w:t>
      </w:r>
      <w:r w:rsidR="00EC34A5" w:rsidRPr="00873CBE">
        <w:t>sentenced young people, limiting</w:t>
      </w:r>
      <w:r w:rsidR="00EC34A5">
        <w:t xml:space="preserve"> </w:t>
      </w:r>
      <w:r>
        <w:t>their</w:t>
      </w:r>
      <w:r w:rsidR="00EC34A5">
        <w:t xml:space="preserve"> rehabilitation</w:t>
      </w:r>
      <w:r>
        <w:t xml:space="preserve"> opportunities</w:t>
      </w:r>
      <w:r w:rsidR="00EC34A5">
        <w:t>.</w:t>
      </w:r>
      <w:r w:rsidR="002B154B" w:rsidRPr="002B154B">
        <w:rPr>
          <w:rStyle w:val="FootnoteReference"/>
        </w:rPr>
        <w:t xml:space="preserve"> </w:t>
      </w:r>
    </w:p>
    <w:p w14:paraId="4B083D47" w14:textId="136ACC3C" w:rsidR="00EC34A5" w:rsidRDefault="00EC34A5" w:rsidP="00EC34A5">
      <w:r w:rsidRPr="005D0D53">
        <w:t xml:space="preserve">Being held in custody </w:t>
      </w:r>
      <w:r>
        <w:t xml:space="preserve">can </w:t>
      </w:r>
      <w:r w:rsidRPr="005D0D53">
        <w:t>negatively impact young people’s mental and physical well-being.</w:t>
      </w:r>
      <w:r w:rsidRPr="005D0D53">
        <w:rPr>
          <w:vertAlign w:val="superscript"/>
        </w:rPr>
        <w:footnoteReference w:id="172"/>
      </w:r>
      <w:r w:rsidRPr="005D0D53">
        <w:rPr>
          <w:vertAlign w:val="superscript"/>
        </w:rPr>
        <w:t xml:space="preserve"> </w:t>
      </w:r>
      <w:r w:rsidRPr="005D0D53">
        <w:t>In particular, the</w:t>
      </w:r>
      <w:r>
        <w:rPr>
          <w:lang w:val="en-AU"/>
        </w:rPr>
        <w:t xml:space="preserve"> uncertainty young people experience on remand can have </w:t>
      </w:r>
      <w:r w:rsidRPr="00E259F8">
        <w:t xml:space="preserve">negative psychological </w:t>
      </w:r>
      <w:r w:rsidRPr="00E259F8">
        <w:lastRenderedPageBreak/>
        <w:t xml:space="preserve">and social </w:t>
      </w:r>
      <w:r>
        <w:t>effects, including feelings of anxiety and hopelessness</w:t>
      </w:r>
      <w:r w:rsidR="001F4A7D">
        <w:t>,</w:t>
      </w:r>
      <w:r>
        <w:t xml:space="preserve"> and withdrawing from social contact both in</w:t>
      </w:r>
      <w:r w:rsidR="001F4A7D">
        <w:t>side</w:t>
      </w:r>
      <w:r>
        <w:t xml:space="preserve"> and outside the youth justice </w:t>
      </w:r>
      <w:proofErr w:type="spellStart"/>
      <w:r>
        <w:t>centre</w:t>
      </w:r>
      <w:proofErr w:type="spellEnd"/>
      <w:r>
        <w:t>.</w:t>
      </w:r>
      <w:r w:rsidRPr="00E259F8">
        <w:rPr>
          <w:rStyle w:val="FootnoteReference"/>
          <w:rFonts w:cs="HelveticaNeue LT 45 Lt"/>
          <w:color w:val="000000"/>
          <w:szCs w:val="22"/>
        </w:rPr>
        <w:footnoteReference w:id="173"/>
      </w:r>
      <w:r>
        <w:t xml:space="preserve"> The </w:t>
      </w:r>
      <w:r w:rsidR="001F4A7D">
        <w:t>y</w:t>
      </w:r>
      <w:r>
        <w:t xml:space="preserve">outh </w:t>
      </w:r>
      <w:r w:rsidR="001F4A7D">
        <w:t>p</w:t>
      </w:r>
      <w:r>
        <w:t xml:space="preserve">arole </w:t>
      </w:r>
      <w:r w:rsidR="001F4A7D">
        <w:t>b</w:t>
      </w:r>
      <w:r>
        <w:t>oard notes young people display</w:t>
      </w:r>
      <w:r w:rsidR="001F4A7D">
        <w:t>ing</w:t>
      </w:r>
      <w:r>
        <w:t xml:space="preserve"> patterns of “</w:t>
      </w:r>
      <w:r w:rsidRPr="00FD767E">
        <w:rPr>
          <w:i/>
        </w:rPr>
        <w:t>unsettled behaviour on remand</w:t>
      </w:r>
      <w:r>
        <w:t>.</w:t>
      </w:r>
      <w:r w:rsidRPr="00C22931">
        <w:rPr>
          <w:rStyle w:val="FootnoteReference"/>
        </w:rPr>
        <w:footnoteReference w:id="174"/>
      </w:r>
      <w:r>
        <w:t xml:space="preserve"> </w:t>
      </w:r>
    </w:p>
    <w:p w14:paraId="1623B073" w14:textId="12F73E0B" w:rsidR="00EC34A5" w:rsidRDefault="001F4A7D" w:rsidP="00EC34A5">
      <w:pPr>
        <w:rPr>
          <w:vertAlign w:val="superscript"/>
        </w:rPr>
      </w:pPr>
      <w:r>
        <w:t>Being r</w:t>
      </w:r>
      <w:r w:rsidR="00EC34A5">
        <w:t>emand</w:t>
      </w:r>
      <w:r>
        <w:t xml:space="preserve">ed in custody </w:t>
      </w:r>
      <w:r w:rsidR="00EC34A5" w:rsidRPr="00257D40">
        <w:t xml:space="preserve">can </w:t>
      </w:r>
      <w:r w:rsidR="00EC34A5">
        <w:t xml:space="preserve">increase young people’s </w:t>
      </w:r>
      <w:r w:rsidR="00EC34A5" w:rsidRPr="00257D40">
        <w:t>reoffending</w:t>
      </w:r>
      <w:r>
        <w:t>,</w:t>
      </w:r>
      <w:r w:rsidR="00EC34A5" w:rsidRPr="00257D40">
        <w:t xml:space="preserve"> </w:t>
      </w:r>
      <w:r>
        <w:t>from the influence of living with more serious offenders,</w:t>
      </w:r>
      <w:r w:rsidR="00EC34A5">
        <w:t xml:space="preserve"> </w:t>
      </w:r>
      <w:r w:rsidR="00EC34A5" w:rsidRPr="00257D40">
        <w:t xml:space="preserve">and </w:t>
      </w:r>
      <w:r w:rsidR="00EC34A5">
        <w:t xml:space="preserve">by </w:t>
      </w:r>
      <w:r w:rsidR="00EC34A5" w:rsidRPr="00257D40">
        <w:t>demystifying youth detention</w:t>
      </w:r>
      <w:r w:rsidR="00EC34A5">
        <w:t xml:space="preserve">, </w:t>
      </w:r>
      <w:r>
        <w:t>reducing</w:t>
      </w:r>
      <w:r w:rsidR="00EC34A5">
        <w:t xml:space="preserve"> deterrent</w:t>
      </w:r>
      <w:r>
        <w:t xml:space="preserve"> effects</w:t>
      </w:r>
      <w:proofErr w:type="gramStart"/>
      <w:r w:rsidR="00EC34A5" w:rsidRPr="00257D40">
        <w:t>.</w:t>
      </w:r>
      <w:r w:rsidR="00C93A62" w:rsidRPr="00030B54">
        <w:rPr>
          <w:rStyle w:val="FootnoteReference"/>
          <w:szCs w:val="22"/>
        </w:rPr>
        <w:footnoteReference w:id="175"/>
      </w:r>
      <w:r w:rsidR="00EC34A5" w:rsidRPr="00257D40">
        <w:rPr>
          <w:vertAlign w:val="superscript"/>
        </w:rPr>
        <w:t>,</w:t>
      </w:r>
      <w:proofErr w:type="gramEnd"/>
      <w:r w:rsidR="00EC34A5" w:rsidRPr="00257D40">
        <w:rPr>
          <w:vertAlign w:val="superscript"/>
        </w:rPr>
        <w:footnoteReference w:id="176"/>
      </w:r>
      <w:r w:rsidR="00EC34A5">
        <w:rPr>
          <w:vertAlign w:val="superscript"/>
        </w:rPr>
        <w:t xml:space="preserve"> </w:t>
      </w:r>
    </w:p>
    <w:p w14:paraId="3DD8BECB" w14:textId="6C334A98" w:rsidR="007B1409" w:rsidRDefault="001F4A7D" w:rsidP="007B1409">
      <w:r>
        <w:t>Remand costs</w:t>
      </w:r>
      <w:r w:rsidR="007B1409">
        <w:t xml:space="preserve"> </w:t>
      </w:r>
      <w:r>
        <w:t>are</w:t>
      </w:r>
      <w:r w:rsidR="007B1409">
        <w:t xml:space="preserve"> </w:t>
      </w:r>
      <w:r>
        <w:t>higher</w:t>
      </w:r>
      <w:r w:rsidR="007B1409">
        <w:t xml:space="preserve"> than community based supervision.</w:t>
      </w:r>
      <w:r w:rsidR="00C93A62" w:rsidRPr="00030B54">
        <w:rPr>
          <w:rStyle w:val="FootnoteReference"/>
          <w:szCs w:val="22"/>
        </w:rPr>
        <w:footnoteReference w:id="177"/>
      </w:r>
      <w:r w:rsidR="007B1409">
        <w:t>The increase in remand numbers places pressure on youth justice facilities.</w:t>
      </w:r>
      <w:r w:rsidR="00304F61">
        <w:t xml:space="preserve"> </w:t>
      </w:r>
      <w:r w:rsidR="007B1409">
        <w:t>As identified by the Ombudsman’s investigation, overcrowding in Victoria’s youth justice facilities result</w:t>
      </w:r>
      <w:r>
        <w:t>s</w:t>
      </w:r>
      <w:r w:rsidR="007B1409">
        <w:t xml:space="preserve"> in </w:t>
      </w:r>
      <w:r w:rsidR="00C93A62">
        <w:t>“</w:t>
      </w:r>
      <w:r w:rsidR="007B1409">
        <w:t>undesirable mixing of young people of varying ages</w:t>
      </w:r>
      <w:r w:rsidR="00C93A62">
        <w:t>”</w:t>
      </w:r>
      <w:r w:rsidR="007B1409">
        <w:t xml:space="preserve">, as well as </w:t>
      </w:r>
      <w:r>
        <w:t xml:space="preserve">mixing </w:t>
      </w:r>
      <w:proofErr w:type="spellStart"/>
      <w:r w:rsidR="007B1409">
        <w:t>remandees</w:t>
      </w:r>
      <w:proofErr w:type="spellEnd"/>
      <w:r w:rsidR="007B1409">
        <w:t xml:space="preserve"> with sentenced offenders.</w:t>
      </w:r>
      <w:r w:rsidR="007B1409">
        <w:rPr>
          <w:rStyle w:val="FootnoteReference"/>
        </w:rPr>
        <w:footnoteReference w:id="178"/>
      </w:r>
    </w:p>
    <w:p w14:paraId="2EAB41DC" w14:textId="2170813A" w:rsidR="00D74532" w:rsidRPr="00866A82" w:rsidRDefault="002B154B" w:rsidP="00EC34A5">
      <w:pPr>
        <w:rPr>
          <w:szCs w:val="24"/>
        </w:rPr>
      </w:pPr>
      <w:r>
        <w:t xml:space="preserve">Increasing the availability of interventions and support to young people </w:t>
      </w:r>
      <w:r w:rsidR="00866A82">
        <w:t>on remand can improve their health and wellbeing and help address issues they fac</w:t>
      </w:r>
      <w:r w:rsidR="001F4A7D">
        <w:t>e</w:t>
      </w:r>
      <w:r w:rsidR="00866A82">
        <w:t xml:space="preserve">. </w:t>
      </w:r>
    </w:p>
    <w:p w14:paraId="572EAAB9" w14:textId="395A8CF2" w:rsidR="0090159F" w:rsidRDefault="0090159F">
      <w:pPr>
        <w:spacing w:before="200"/>
        <w:rPr>
          <w:b/>
          <w:color w:val="D84920"/>
          <w:sz w:val="50"/>
          <w:szCs w:val="50"/>
        </w:rPr>
      </w:pPr>
      <w:r>
        <w:rPr>
          <w:b/>
          <w:color w:val="D84920"/>
          <w:sz w:val="50"/>
          <w:szCs w:val="50"/>
        </w:rPr>
        <w:br w:type="page"/>
      </w:r>
    </w:p>
    <w:p w14:paraId="61DDF089" w14:textId="77777777" w:rsidR="000D1AF9" w:rsidRPr="0090159F" w:rsidRDefault="000D1AF9" w:rsidP="0090159F">
      <w:pPr>
        <w:spacing w:before="200"/>
        <w:rPr>
          <w:b/>
          <w:color w:val="D84920"/>
          <w:sz w:val="50"/>
          <w:szCs w:val="50"/>
        </w:rPr>
        <w:sectPr w:rsidR="000D1AF9" w:rsidRPr="0090159F" w:rsidSect="00BF4B30">
          <w:pgSz w:w="11900" w:h="16840"/>
          <w:pgMar w:top="1985" w:right="1134" w:bottom="1134" w:left="1134" w:header="709" w:footer="389" w:gutter="0"/>
          <w:pgNumType w:start="1"/>
          <w:cols w:space="708"/>
          <w:docGrid w:linePitch="360"/>
        </w:sectPr>
      </w:pPr>
    </w:p>
    <w:p w14:paraId="3AA7CB5F" w14:textId="435121C0" w:rsidR="005D2943" w:rsidRPr="009519D2" w:rsidRDefault="00E70ECF" w:rsidP="00CE5762">
      <w:r>
        <w:rPr>
          <w:noProof/>
          <w:lang w:val="en-AU" w:eastAsia="en-AU"/>
        </w:rPr>
        <w:lastRenderedPageBreak/>
        <w:drawing>
          <wp:anchor distT="0" distB="0" distL="114300" distR="114300" simplePos="0" relativeHeight="251665408" behindDoc="1" locked="0" layoutInCell="1" allowOverlap="1" wp14:anchorId="5F1F5D4D" wp14:editId="391D94C1">
            <wp:simplePos x="0" y="0"/>
            <wp:positionH relativeFrom="page">
              <wp:posOffset>312</wp:posOffset>
            </wp:positionH>
            <wp:positionV relativeFrom="page">
              <wp:posOffset>-2289</wp:posOffset>
            </wp:positionV>
            <wp:extent cx="7558405" cy="10681335"/>
            <wp:effectExtent l="0" t="0" r="4445" b="5715"/>
            <wp:wrapNone/>
            <wp:docPr id="3" name="Picture 3" title="VCOSS publication back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dk orange.jpg"/>
                    <pic:cNvPicPr/>
                  </pic:nvPicPr>
                  <pic:blipFill>
                    <a:blip r:embed="rId20">
                      <a:extLst>
                        <a:ext uri="{28A0092B-C50C-407E-A947-70E740481C1C}">
                          <a14:useLocalDpi xmlns:a14="http://schemas.microsoft.com/office/drawing/2010/main" val="0"/>
                        </a:ext>
                      </a:extLst>
                    </a:blip>
                    <a:stretch>
                      <a:fillRect/>
                    </a:stretch>
                  </pic:blipFill>
                  <pic:spPr>
                    <a:xfrm>
                      <a:off x="0" y="0"/>
                      <a:ext cx="7558405" cy="1068133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231CBAF" w14:textId="77777777" w:rsidR="009519D2" w:rsidRPr="0076141E" w:rsidRDefault="009519D2" w:rsidP="00CE5762"/>
    <w:sectPr w:rsidR="009519D2" w:rsidRPr="0076141E" w:rsidSect="005D2943">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EBF44" w14:textId="77777777" w:rsidR="00D02193" w:rsidRDefault="00D02193" w:rsidP="00CE5762">
      <w:r>
        <w:separator/>
      </w:r>
    </w:p>
  </w:endnote>
  <w:endnote w:type="continuationSeparator" w:id="0">
    <w:p w14:paraId="1022DDC0" w14:textId="77777777" w:rsidR="00D02193" w:rsidRDefault="00D02193" w:rsidP="00CE5762">
      <w:r>
        <w:continuationSeparator/>
      </w:r>
    </w:p>
  </w:endnote>
  <w:endnote w:type="continuationNotice" w:id="1">
    <w:p w14:paraId="20AD0100" w14:textId="77777777" w:rsidR="00D02193" w:rsidRDefault="00D021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obe Jenson Pro">
    <w:altName w:val="Cambria"/>
    <w:panose1 w:val="00000000000000000000"/>
    <w:charset w:val="00"/>
    <w:family w:val="roman"/>
    <w:notTrueType/>
    <w:pitch w:val="default"/>
    <w:sig w:usb0="00000003" w:usb1="00000000" w:usb2="00000000" w:usb3="00000000" w:csb0="00000001" w:csb1="00000000"/>
  </w:font>
  <w:font w:name="BKMUGJ+Univers-Light">
    <w:altName w:val="Univer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Std-Light">
    <w:altName w:val="Calibri"/>
    <w:panose1 w:val="00000000000000000000"/>
    <w:charset w:val="00"/>
    <w:family w:val="swiss"/>
    <w:notTrueType/>
    <w:pitch w:val="default"/>
    <w:sig w:usb0="00000003" w:usb1="00000000" w:usb2="00000000" w:usb3="00000000" w:csb0="00000001" w:csb1="00000000"/>
  </w:font>
  <w:font w:name="National Book">
    <w:altName w:val="National Book"/>
    <w:panose1 w:val="00000000000000000000"/>
    <w:charset w:val="00"/>
    <w:family w:val="swiss"/>
    <w:notTrueType/>
    <w:pitch w:val="default"/>
    <w:sig w:usb0="00000003" w:usb1="00000000" w:usb2="00000000" w:usb3="00000000" w:csb0="00000001" w:csb1="00000000"/>
  </w:font>
  <w:font w:name="Karla">
    <w:altName w:val="Calibri"/>
    <w:charset w:val="00"/>
    <w:family w:val="auto"/>
    <w:pitch w:val="variable"/>
    <w:sig w:usb0="80000027" w:usb1="08000042" w:usb2="14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TSans-Italic">
    <w:altName w:val="Arial"/>
    <w:panose1 w:val="00000000000000000000"/>
    <w:charset w:val="00"/>
    <w:family w:val="roman"/>
    <w:notTrueType/>
    <w:pitch w:val="default"/>
  </w:font>
  <w:font w:name="AJensonPro-Regular">
    <w:altName w:val="Cambria"/>
    <w:panose1 w:val="00000000000000000000"/>
    <w:charset w:val="00"/>
    <w:family w:val="roman"/>
    <w:notTrueType/>
    <w:pitch w:val="default"/>
    <w:sig w:usb0="00000003" w:usb1="00000000" w:usb2="00000000" w:usb3="00000000" w:csb0="00000001" w:csb1="00000000"/>
  </w:font>
  <w:font w:name="Raleway">
    <w:altName w:val="MS Gothic"/>
    <w:charset w:val="00"/>
    <w:family w:val="swiss"/>
    <w:pitch w:val="variable"/>
    <w:sig w:usb0="00000001" w:usb1="4800004A" w:usb2="14000000" w:usb3="00000000" w:csb0="00000097" w:csb1="00000000"/>
  </w:font>
  <w:font w:name="HelveticaNeue LT 45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01751"/>
      <w:docPartObj>
        <w:docPartGallery w:val="Page Numbers (Bottom of Page)"/>
        <w:docPartUnique/>
      </w:docPartObj>
    </w:sdtPr>
    <w:sdtEndPr>
      <w:rPr>
        <w:noProof/>
      </w:rPr>
    </w:sdtEndPr>
    <w:sdtContent>
      <w:p w14:paraId="26D492CA" w14:textId="77777777" w:rsidR="00D02193" w:rsidRPr="00007C97" w:rsidRDefault="00D02193" w:rsidP="00CE5762">
        <w:pPr>
          <w:pStyle w:val="Footer"/>
        </w:pPr>
        <w:r w:rsidRPr="00007C97">
          <w:rPr>
            <w:rStyle w:val="PageNumber"/>
            <w:b/>
            <w:noProof/>
            <w:sz w:val="18"/>
            <w:szCs w:val="18"/>
          </w:rPr>
          <w:fldChar w:fldCharType="begin"/>
        </w:r>
        <w:r w:rsidRPr="00007C97">
          <w:rPr>
            <w:rStyle w:val="PageNumber"/>
            <w:b/>
            <w:noProof/>
            <w:sz w:val="18"/>
            <w:szCs w:val="18"/>
          </w:rPr>
          <w:instrText xml:space="preserve"> PAGE   \* MERGEFORMAT </w:instrText>
        </w:r>
        <w:r w:rsidRPr="00007C97">
          <w:rPr>
            <w:rStyle w:val="PageNumber"/>
            <w:b/>
            <w:noProof/>
            <w:sz w:val="18"/>
            <w:szCs w:val="18"/>
          </w:rPr>
          <w:fldChar w:fldCharType="separate"/>
        </w:r>
        <w:r>
          <w:rPr>
            <w:rStyle w:val="PageNumber"/>
            <w:b/>
            <w:noProof/>
            <w:sz w:val="18"/>
            <w:szCs w:val="18"/>
          </w:rPr>
          <w:t>4</w:t>
        </w:r>
        <w:r w:rsidRPr="00007C97">
          <w:rPr>
            <w:rStyle w:val="PageNumber"/>
            <w:b/>
            <w:sz w:val="18"/>
            <w:szCs w:val="18"/>
          </w:rPr>
          <w:fldChar w:fldCharType="end"/>
        </w:r>
      </w:p>
    </w:sdtContent>
  </w:sdt>
  <w:p w14:paraId="44100F39" w14:textId="77777777" w:rsidR="00D02193" w:rsidRPr="00007C97" w:rsidRDefault="00D02193" w:rsidP="00CE5762">
    <w:pPr>
      <w:pStyle w:val="Footer"/>
    </w:pPr>
    <w:r w:rsidRPr="00007C97">
      <w:rPr>
        <w:b/>
      </w:rPr>
      <w:t>VCOSS</w:t>
    </w:r>
    <w:r w:rsidRPr="00007C97">
      <w:t xml:space="preserve"> Name of submission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97792" w14:textId="0DBBE36D" w:rsidR="00D02193" w:rsidRPr="00583743" w:rsidRDefault="00D02193" w:rsidP="005B2426">
    <w:pPr>
      <w:pStyle w:val="Footer"/>
      <w:rPr>
        <w:rStyle w:val="PageNumber"/>
        <w:sz w:val="18"/>
        <w:szCs w:val="18"/>
      </w:rPr>
    </w:pPr>
    <w:r>
      <w:t>VCOSS Submission: I</w:t>
    </w:r>
    <w:r w:rsidRPr="00513644">
      <w:t>nquiry into youth justice centres in Victoria</w:t>
    </w:r>
    <w:r>
      <w:t xml:space="preserve"> </w:t>
    </w:r>
    <w:r>
      <w:tab/>
    </w:r>
    <w:r>
      <w:tab/>
    </w:r>
    <w:r w:rsidRPr="00583743">
      <w:rPr>
        <w:rStyle w:val="PageNumber"/>
        <w:sz w:val="18"/>
        <w:szCs w:val="18"/>
      </w:rPr>
      <w:fldChar w:fldCharType="begin"/>
    </w:r>
    <w:r w:rsidRPr="00583743">
      <w:rPr>
        <w:rStyle w:val="PageNumber"/>
        <w:sz w:val="18"/>
        <w:szCs w:val="18"/>
      </w:rPr>
      <w:instrText xml:space="preserve">PAGE  </w:instrText>
    </w:r>
    <w:r w:rsidRPr="00583743">
      <w:rPr>
        <w:rStyle w:val="PageNumber"/>
        <w:sz w:val="18"/>
        <w:szCs w:val="18"/>
      </w:rPr>
      <w:fldChar w:fldCharType="separate"/>
    </w:r>
    <w:r w:rsidR="007A7B40">
      <w:rPr>
        <w:rStyle w:val="PageNumber"/>
        <w:noProof/>
        <w:sz w:val="18"/>
        <w:szCs w:val="18"/>
      </w:rPr>
      <w:t>30</w:t>
    </w:r>
    <w:r w:rsidRPr="00583743">
      <w:rPr>
        <w:rStyle w:val="PageNumber"/>
        <w:sz w:val="18"/>
        <w:szCs w:val="18"/>
      </w:rPr>
      <w:fldChar w:fldCharType="end"/>
    </w:r>
  </w:p>
  <w:p w14:paraId="783CDB5A" w14:textId="77777777" w:rsidR="00D02193" w:rsidRPr="00583743" w:rsidRDefault="00D02193" w:rsidP="00CE5762">
    <w:pPr>
      <w:pStyle w:val="BasicParagrap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3B1D6" w14:textId="77777777" w:rsidR="00D02193" w:rsidRDefault="00D02193" w:rsidP="00CE5762">
      <w:r>
        <w:separator/>
      </w:r>
    </w:p>
  </w:footnote>
  <w:footnote w:type="continuationSeparator" w:id="0">
    <w:p w14:paraId="6E1BBBEE" w14:textId="77777777" w:rsidR="00D02193" w:rsidRDefault="00D02193" w:rsidP="00CE5762">
      <w:r>
        <w:continuationSeparator/>
      </w:r>
    </w:p>
  </w:footnote>
  <w:footnote w:type="continuationNotice" w:id="1">
    <w:p w14:paraId="49E44F02" w14:textId="77777777" w:rsidR="00D02193" w:rsidRDefault="00D02193">
      <w:pPr>
        <w:spacing w:before="0" w:after="0" w:line="240" w:lineRule="auto"/>
      </w:pPr>
    </w:p>
  </w:footnote>
  <w:footnote w:id="2">
    <w:p w14:paraId="44CB09EC" w14:textId="77777777" w:rsidR="00D02193" w:rsidRPr="007C0F42" w:rsidRDefault="00D02193" w:rsidP="007C0F42">
      <w:pPr>
        <w:pStyle w:val="FootnoteText"/>
        <w:rPr>
          <w:rFonts w:asciiTheme="minorBidi" w:hAnsiTheme="minorBidi"/>
          <w:szCs w:val="16"/>
        </w:rPr>
      </w:pPr>
      <w:r w:rsidRPr="007C0F42">
        <w:rPr>
          <w:rStyle w:val="FootnoteReference"/>
          <w:szCs w:val="16"/>
        </w:rPr>
        <w:footnoteRef/>
      </w:r>
      <w:r w:rsidRPr="007C0F42">
        <w:rPr>
          <w:szCs w:val="16"/>
        </w:rPr>
        <w:t xml:space="preserve"> Australian Institute of Health and Welfare, Victoria: youth justice supervision in 2014–15, Youth justice fact sheet no. 62, </w:t>
      </w:r>
      <w:r w:rsidRPr="007C0F42">
        <w:rPr>
          <w:rFonts w:asciiTheme="minorBidi" w:hAnsiTheme="minorBidi"/>
          <w:szCs w:val="16"/>
        </w:rPr>
        <w:t xml:space="preserve">AIHW, </w:t>
      </w:r>
      <w:r w:rsidRPr="007C0F42">
        <w:rPr>
          <w:rFonts w:asciiTheme="minorBidi" w:hAnsiTheme="minorBidi"/>
          <w:color w:val="332E29"/>
          <w:szCs w:val="16"/>
          <w:shd w:val="clear" w:color="auto" w:fill="FFFFFF"/>
        </w:rPr>
        <w:t>April 2016.</w:t>
      </w:r>
      <w:r w:rsidRPr="007C0F42">
        <w:rPr>
          <w:rStyle w:val="apple-converted-space"/>
          <w:rFonts w:asciiTheme="minorBidi" w:hAnsiTheme="minorBidi"/>
          <w:color w:val="332E29"/>
          <w:szCs w:val="16"/>
          <w:shd w:val="clear" w:color="auto" w:fill="FFFFFF"/>
        </w:rPr>
        <w:t> </w:t>
      </w:r>
    </w:p>
  </w:footnote>
  <w:footnote w:id="3">
    <w:p w14:paraId="780A3CD8" w14:textId="77777777" w:rsidR="00D02193" w:rsidRPr="007C0F42" w:rsidRDefault="00D02193" w:rsidP="007C0F42">
      <w:pPr>
        <w:pStyle w:val="FootnoteText"/>
        <w:rPr>
          <w:szCs w:val="16"/>
        </w:rPr>
      </w:pPr>
      <w:r w:rsidRPr="007C0F42">
        <w:rPr>
          <w:rStyle w:val="FootnoteReference"/>
          <w:szCs w:val="16"/>
        </w:rPr>
        <w:footnoteRef/>
      </w:r>
      <w:r w:rsidRPr="007C0F42">
        <w:rPr>
          <w:szCs w:val="16"/>
        </w:rPr>
        <w:t xml:space="preserve"> ABS, Recorded Crime - Offenders, 2015-16, cat. No. 4519.0, 2 February 2017</w:t>
      </w:r>
      <w:r w:rsidRPr="007C0F42">
        <w:rPr>
          <w:rFonts w:cs="Arial"/>
          <w:b/>
          <w:bCs/>
          <w:color w:val="000000"/>
          <w:szCs w:val="16"/>
          <w:shd w:val="clear" w:color="auto" w:fill="FFFFFF"/>
        </w:rPr>
        <w:t> </w:t>
      </w:r>
    </w:p>
  </w:footnote>
  <w:footnote w:id="4">
    <w:p w14:paraId="7F8FAEC7" w14:textId="77777777" w:rsidR="00D02193" w:rsidRPr="007C0F42" w:rsidRDefault="00D02193" w:rsidP="007C0F42">
      <w:pPr>
        <w:pStyle w:val="FootnoteText"/>
        <w:rPr>
          <w:szCs w:val="16"/>
        </w:rPr>
      </w:pPr>
      <w:r w:rsidRPr="007C0F42">
        <w:rPr>
          <w:rStyle w:val="FootnoteReference"/>
          <w:szCs w:val="16"/>
        </w:rPr>
        <w:footnoteRef/>
      </w:r>
      <w:r w:rsidRPr="007C0F42">
        <w:rPr>
          <w:szCs w:val="16"/>
        </w:rPr>
        <w:t xml:space="preserve"> Sentencing Advisory Council, Reoffending by Children and Young People in Victoria, Sentencing Advisory Council, Melbourne, December 2016.</w:t>
      </w:r>
    </w:p>
  </w:footnote>
  <w:footnote w:id="5">
    <w:p w14:paraId="46310559" w14:textId="77777777" w:rsidR="00D02193" w:rsidRPr="00BC1156" w:rsidRDefault="00D02193" w:rsidP="007C0F42">
      <w:pPr>
        <w:spacing w:before="0" w:after="0" w:line="240" w:lineRule="auto"/>
        <w:rPr>
          <w:b/>
          <w:iCs/>
          <w:sz w:val="16"/>
          <w:szCs w:val="16"/>
        </w:rPr>
      </w:pPr>
      <w:r w:rsidRPr="007C0F42">
        <w:rPr>
          <w:rStyle w:val="FootnoteReference"/>
          <w:sz w:val="16"/>
          <w:szCs w:val="16"/>
        </w:rPr>
        <w:footnoteRef/>
      </w:r>
      <w:r w:rsidRPr="007C0F42">
        <w:rPr>
          <w:sz w:val="16"/>
          <w:szCs w:val="16"/>
        </w:rPr>
        <w:t xml:space="preserve"> </w:t>
      </w:r>
      <w:r w:rsidRPr="007C0F42">
        <w:rPr>
          <w:iCs/>
          <w:sz w:val="16"/>
          <w:szCs w:val="16"/>
          <w:lang w:val="en-GB"/>
        </w:rPr>
        <w:t xml:space="preserve">P Sutherland and M </w:t>
      </w:r>
      <w:proofErr w:type="spellStart"/>
      <w:r w:rsidRPr="007C0F42">
        <w:rPr>
          <w:iCs/>
          <w:sz w:val="16"/>
          <w:szCs w:val="16"/>
          <w:lang w:val="en-GB"/>
        </w:rPr>
        <w:t>Millsteed</w:t>
      </w:r>
      <w:proofErr w:type="spellEnd"/>
      <w:r w:rsidRPr="007C0F42">
        <w:rPr>
          <w:iCs/>
          <w:sz w:val="16"/>
          <w:szCs w:val="16"/>
          <w:lang w:val="en-GB"/>
        </w:rPr>
        <w:t xml:space="preserve">, </w:t>
      </w:r>
      <w:proofErr w:type="gramStart"/>
      <w:r w:rsidRPr="007C0F42">
        <w:rPr>
          <w:i/>
          <w:sz w:val="16"/>
          <w:szCs w:val="16"/>
          <w:lang w:val="en-GB"/>
        </w:rPr>
        <w:t>In</w:t>
      </w:r>
      <w:proofErr w:type="gramEnd"/>
      <w:r w:rsidRPr="007C0F42">
        <w:rPr>
          <w:i/>
          <w:sz w:val="16"/>
          <w:szCs w:val="16"/>
          <w:lang w:val="en-GB"/>
        </w:rPr>
        <w:t xml:space="preserve"> fact No. 1: </w:t>
      </w:r>
      <w:r w:rsidRPr="007C0F42">
        <w:rPr>
          <w:i/>
          <w:sz w:val="16"/>
          <w:szCs w:val="16"/>
        </w:rPr>
        <w:t>Downward trend in the number of young offenders,</w:t>
      </w:r>
      <w:r w:rsidRPr="007C0F42">
        <w:rPr>
          <w:iCs/>
          <w:sz w:val="16"/>
          <w:szCs w:val="16"/>
        </w:rPr>
        <w:t xml:space="preserve"> </w:t>
      </w:r>
      <w:r w:rsidRPr="007C0F42">
        <w:rPr>
          <w:i/>
          <w:sz w:val="16"/>
          <w:szCs w:val="16"/>
        </w:rPr>
        <w:t>2006 to 2015</w:t>
      </w:r>
      <w:r w:rsidRPr="007C0F42">
        <w:rPr>
          <w:iCs/>
          <w:sz w:val="16"/>
          <w:szCs w:val="16"/>
        </w:rPr>
        <w:t>, Crime Statistics Agency, march 2016.</w:t>
      </w:r>
    </w:p>
  </w:footnote>
  <w:footnote w:id="6">
    <w:p w14:paraId="59F0FB0A" w14:textId="77777777" w:rsidR="00D02193" w:rsidRPr="007C0F42" w:rsidRDefault="00D02193" w:rsidP="007C7099">
      <w:pPr>
        <w:pStyle w:val="FootnoteText"/>
        <w:rPr>
          <w:rFonts w:cs="Arial"/>
          <w:szCs w:val="16"/>
        </w:rPr>
      </w:pPr>
      <w:r w:rsidRPr="007C0F42">
        <w:rPr>
          <w:rStyle w:val="FootnoteReference"/>
          <w:rFonts w:cs="Arial"/>
          <w:szCs w:val="16"/>
        </w:rPr>
        <w:footnoteRef/>
      </w:r>
      <w:r w:rsidRPr="007C0F42">
        <w:rPr>
          <w:rFonts w:cs="Arial"/>
          <w:szCs w:val="16"/>
        </w:rPr>
        <w:t xml:space="preserve"> Sentencing Advisory Council, Sentencing Children in Victoria: Data Update Report, Sentencing Advisory Council, Melbourne,</w:t>
      </w:r>
    </w:p>
    <w:p w14:paraId="0CDBA446" w14:textId="77777777" w:rsidR="00D02193" w:rsidRPr="007C0F42" w:rsidRDefault="00D02193" w:rsidP="007C7099">
      <w:pPr>
        <w:pStyle w:val="FootnoteText"/>
        <w:rPr>
          <w:rFonts w:cs="Arial"/>
          <w:szCs w:val="16"/>
        </w:rPr>
      </w:pPr>
      <w:r w:rsidRPr="007C0F42">
        <w:rPr>
          <w:rFonts w:cs="Arial"/>
          <w:szCs w:val="16"/>
        </w:rPr>
        <w:t>July 2016</w:t>
      </w:r>
    </w:p>
  </w:footnote>
  <w:footnote w:id="7">
    <w:p w14:paraId="0FE6F98B" w14:textId="77777777" w:rsidR="00D02193" w:rsidRPr="007C0F42" w:rsidRDefault="00D02193" w:rsidP="00AA6C03">
      <w:pPr>
        <w:pStyle w:val="Heading2"/>
        <w:shd w:val="clear" w:color="auto" w:fill="FFFFFF"/>
        <w:spacing w:before="0" w:after="0"/>
        <w:rPr>
          <w:rFonts w:cs="Arial"/>
          <w:sz w:val="16"/>
          <w:szCs w:val="16"/>
        </w:rPr>
      </w:pPr>
      <w:r w:rsidRPr="007C0F42">
        <w:rPr>
          <w:rStyle w:val="FootnoteReference"/>
          <w:rFonts w:cs="Arial"/>
          <w:color w:val="auto"/>
          <w:sz w:val="16"/>
          <w:szCs w:val="16"/>
        </w:rPr>
        <w:footnoteRef/>
      </w:r>
      <w:r w:rsidRPr="007C0F42">
        <w:rPr>
          <w:rFonts w:cs="Arial"/>
          <w:color w:val="auto"/>
          <w:sz w:val="16"/>
          <w:szCs w:val="16"/>
        </w:rPr>
        <w:t xml:space="preserve"> </w:t>
      </w:r>
      <w:r w:rsidRPr="007C0F42">
        <w:rPr>
          <w:rFonts w:cs="Arial"/>
          <w:b w:val="0"/>
          <w:bCs w:val="0"/>
          <w:color w:val="auto"/>
          <w:sz w:val="16"/>
          <w:szCs w:val="16"/>
        </w:rPr>
        <w:t xml:space="preserve">K Richards, </w:t>
      </w:r>
      <w:r w:rsidRPr="007C0F42">
        <w:rPr>
          <w:rFonts w:cs="Arial"/>
          <w:b w:val="0"/>
          <w:bCs w:val="0"/>
          <w:i/>
          <w:iCs/>
          <w:color w:val="auto"/>
          <w:sz w:val="16"/>
          <w:szCs w:val="16"/>
        </w:rPr>
        <w:t>What makes juvenile offenders different from adult offenders?</w:t>
      </w:r>
      <w:r w:rsidRPr="007C0F42">
        <w:rPr>
          <w:rFonts w:cs="Arial"/>
          <w:b w:val="0"/>
          <w:bCs w:val="0"/>
          <w:color w:val="auto"/>
          <w:sz w:val="16"/>
          <w:szCs w:val="16"/>
        </w:rPr>
        <w:t xml:space="preserve">, Trends &amp; Issues in Crime and Criminal Justice no. 409, </w:t>
      </w:r>
      <w:r w:rsidRPr="007C0F42">
        <w:rPr>
          <w:rFonts w:cs="Arial"/>
          <w:b w:val="0"/>
          <w:bCs w:val="0"/>
          <w:color w:val="auto"/>
          <w:sz w:val="16"/>
          <w:szCs w:val="16"/>
          <w:shd w:val="clear" w:color="auto" w:fill="FFFFFF"/>
        </w:rPr>
        <w:t>Australian Institute of Criminology, February 2011.</w:t>
      </w:r>
    </w:p>
  </w:footnote>
  <w:footnote w:id="8">
    <w:p w14:paraId="2B000E35" w14:textId="77777777" w:rsidR="00D02193" w:rsidRPr="007C0F42" w:rsidRDefault="00D02193" w:rsidP="00AA6C03">
      <w:pPr>
        <w:spacing w:before="0" w:after="0" w:line="240" w:lineRule="auto"/>
        <w:rPr>
          <w:sz w:val="16"/>
          <w:szCs w:val="16"/>
        </w:rPr>
      </w:pPr>
      <w:r w:rsidRPr="007C0F42">
        <w:rPr>
          <w:rStyle w:val="FootnoteReference"/>
          <w:sz w:val="16"/>
          <w:szCs w:val="16"/>
        </w:rPr>
        <w:footnoteRef/>
      </w:r>
      <w:r w:rsidRPr="007C0F42">
        <w:rPr>
          <w:sz w:val="16"/>
          <w:szCs w:val="16"/>
        </w:rPr>
        <w:t xml:space="preserve"> </w:t>
      </w:r>
      <w:r w:rsidRPr="007C0F42">
        <w:rPr>
          <w:iCs/>
          <w:sz w:val="16"/>
          <w:szCs w:val="16"/>
          <w:lang w:val="en-GB"/>
        </w:rPr>
        <w:t xml:space="preserve">P Sutherland and M </w:t>
      </w:r>
      <w:proofErr w:type="spellStart"/>
      <w:r w:rsidRPr="007C0F42">
        <w:rPr>
          <w:iCs/>
          <w:sz w:val="16"/>
          <w:szCs w:val="16"/>
          <w:lang w:val="en-GB"/>
        </w:rPr>
        <w:t>Millsteed</w:t>
      </w:r>
      <w:proofErr w:type="spellEnd"/>
      <w:r w:rsidRPr="007C0F42">
        <w:rPr>
          <w:iCs/>
          <w:sz w:val="16"/>
          <w:szCs w:val="16"/>
          <w:lang w:val="en-GB"/>
        </w:rPr>
        <w:t xml:space="preserve">, </w:t>
      </w:r>
      <w:proofErr w:type="gramStart"/>
      <w:r w:rsidRPr="007C0F42">
        <w:rPr>
          <w:i/>
          <w:sz w:val="16"/>
          <w:szCs w:val="16"/>
          <w:lang w:val="en-GB"/>
        </w:rPr>
        <w:t>In</w:t>
      </w:r>
      <w:proofErr w:type="gramEnd"/>
      <w:r w:rsidRPr="007C0F42">
        <w:rPr>
          <w:i/>
          <w:sz w:val="16"/>
          <w:szCs w:val="16"/>
          <w:lang w:val="en-GB"/>
        </w:rPr>
        <w:t xml:space="preserve"> brief: </w:t>
      </w:r>
      <w:r w:rsidRPr="007C0F42">
        <w:rPr>
          <w:i/>
          <w:sz w:val="16"/>
          <w:szCs w:val="16"/>
        </w:rPr>
        <w:t>Patterns of recorded offending behaviour amongst young Victorian offenders</w:t>
      </w:r>
      <w:r w:rsidRPr="007C0F42">
        <w:rPr>
          <w:iCs/>
          <w:sz w:val="16"/>
          <w:szCs w:val="16"/>
        </w:rPr>
        <w:t>, Number 6, Crime Statistics Agency, September 2016.</w:t>
      </w:r>
    </w:p>
  </w:footnote>
  <w:footnote w:id="9">
    <w:p w14:paraId="6205CB5C" w14:textId="77777777" w:rsidR="00D02193" w:rsidRPr="007C0F42" w:rsidRDefault="00D02193" w:rsidP="007C7099">
      <w:pPr>
        <w:spacing w:before="0" w:after="0" w:line="240" w:lineRule="auto"/>
        <w:rPr>
          <w:sz w:val="16"/>
          <w:szCs w:val="16"/>
        </w:rPr>
      </w:pPr>
      <w:r w:rsidRPr="007C0F42">
        <w:rPr>
          <w:rStyle w:val="FootnoteReference"/>
          <w:sz w:val="16"/>
          <w:szCs w:val="16"/>
        </w:rPr>
        <w:footnoteRef/>
      </w:r>
      <w:r w:rsidRPr="007C0F42">
        <w:rPr>
          <w:sz w:val="16"/>
          <w:szCs w:val="16"/>
        </w:rPr>
        <w:t xml:space="preserve"> </w:t>
      </w:r>
      <w:r w:rsidRPr="007C0F42">
        <w:rPr>
          <w:iCs/>
          <w:sz w:val="16"/>
          <w:szCs w:val="16"/>
          <w:lang w:val="en-GB"/>
        </w:rPr>
        <w:t xml:space="preserve">P Sutherland and M </w:t>
      </w:r>
      <w:proofErr w:type="spellStart"/>
      <w:r w:rsidRPr="007C0F42">
        <w:rPr>
          <w:iCs/>
          <w:sz w:val="16"/>
          <w:szCs w:val="16"/>
          <w:lang w:val="en-GB"/>
        </w:rPr>
        <w:t>Millsteed</w:t>
      </w:r>
      <w:proofErr w:type="spellEnd"/>
      <w:r w:rsidRPr="007C0F42">
        <w:rPr>
          <w:iCs/>
          <w:sz w:val="16"/>
          <w:szCs w:val="16"/>
          <w:lang w:val="en-GB"/>
        </w:rPr>
        <w:t xml:space="preserve">, </w:t>
      </w:r>
      <w:proofErr w:type="gramStart"/>
      <w:r w:rsidRPr="007C0F42">
        <w:rPr>
          <w:i/>
          <w:sz w:val="16"/>
          <w:szCs w:val="16"/>
          <w:lang w:val="en-GB"/>
        </w:rPr>
        <w:t>In</w:t>
      </w:r>
      <w:proofErr w:type="gramEnd"/>
      <w:r w:rsidRPr="007C0F42">
        <w:rPr>
          <w:i/>
          <w:sz w:val="16"/>
          <w:szCs w:val="16"/>
          <w:lang w:val="en-GB"/>
        </w:rPr>
        <w:t xml:space="preserve"> brief: </w:t>
      </w:r>
      <w:r w:rsidRPr="007C0F42">
        <w:rPr>
          <w:i/>
          <w:sz w:val="16"/>
          <w:szCs w:val="16"/>
        </w:rPr>
        <w:t>Patterns of recorded offending behaviour amongst young Victorian offenders</w:t>
      </w:r>
      <w:r w:rsidRPr="007C0F42">
        <w:rPr>
          <w:iCs/>
          <w:sz w:val="16"/>
          <w:szCs w:val="16"/>
        </w:rPr>
        <w:t>, Number 6, Crime Statistics Agency, September 2016.</w:t>
      </w:r>
    </w:p>
  </w:footnote>
  <w:footnote w:id="10">
    <w:p w14:paraId="13576CD4" w14:textId="77777777" w:rsidR="00D02193" w:rsidRPr="007C0F42" w:rsidRDefault="00D02193" w:rsidP="007C7099">
      <w:pPr>
        <w:pStyle w:val="Heading2"/>
        <w:shd w:val="clear" w:color="auto" w:fill="FFFFFF"/>
        <w:spacing w:before="0" w:after="0"/>
        <w:rPr>
          <w:rFonts w:cs="Arial"/>
          <w:b w:val="0"/>
          <w:bCs w:val="0"/>
          <w:sz w:val="16"/>
          <w:szCs w:val="16"/>
        </w:rPr>
      </w:pPr>
      <w:r w:rsidRPr="007C0F42">
        <w:rPr>
          <w:rStyle w:val="FootnoteReference"/>
          <w:rFonts w:cs="Arial"/>
          <w:b w:val="0"/>
          <w:bCs w:val="0"/>
          <w:color w:val="auto"/>
          <w:sz w:val="16"/>
          <w:szCs w:val="16"/>
        </w:rPr>
        <w:footnoteRef/>
      </w:r>
      <w:r w:rsidRPr="007C0F42">
        <w:rPr>
          <w:rFonts w:cs="Arial"/>
          <w:b w:val="0"/>
          <w:bCs w:val="0"/>
          <w:color w:val="auto"/>
          <w:sz w:val="16"/>
          <w:szCs w:val="16"/>
        </w:rPr>
        <w:t xml:space="preserve"> K Richards, </w:t>
      </w:r>
      <w:r w:rsidRPr="007C0F42">
        <w:rPr>
          <w:rFonts w:cs="Arial"/>
          <w:b w:val="0"/>
          <w:bCs w:val="0"/>
          <w:i/>
          <w:iCs/>
          <w:color w:val="auto"/>
          <w:sz w:val="16"/>
          <w:szCs w:val="16"/>
        </w:rPr>
        <w:t>What makes juvenile offenders different from adult offenders?</w:t>
      </w:r>
      <w:r w:rsidRPr="007C0F42">
        <w:rPr>
          <w:rFonts w:cs="Arial"/>
          <w:b w:val="0"/>
          <w:bCs w:val="0"/>
          <w:color w:val="auto"/>
          <w:sz w:val="16"/>
          <w:szCs w:val="16"/>
        </w:rPr>
        <w:t xml:space="preserve">, Trends &amp; Issues in Crime and Criminal Justice no. 409, </w:t>
      </w:r>
      <w:r w:rsidRPr="007C0F42">
        <w:rPr>
          <w:rFonts w:cs="Arial"/>
          <w:b w:val="0"/>
          <w:bCs w:val="0"/>
          <w:color w:val="auto"/>
          <w:sz w:val="16"/>
          <w:szCs w:val="16"/>
          <w:shd w:val="clear" w:color="auto" w:fill="FFFFFF"/>
        </w:rPr>
        <w:t>Australian Institute of Criminology, February 2011.</w:t>
      </w:r>
    </w:p>
  </w:footnote>
  <w:footnote w:id="11">
    <w:p w14:paraId="0AE89BB3" w14:textId="77777777" w:rsidR="00D02193" w:rsidRPr="007C0F42" w:rsidRDefault="00D02193" w:rsidP="006457A9">
      <w:pPr>
        <w:pStyle w:val="FootnoteText"/>
        <w:rPr>
          <w:rFonts w:cs="Arial"/>
          <w:szCs w:val="16"/>
        </w:rPr>
      </w:pPr>
      <w:r w:rsidRPr="007C0F42">
        <w:rPr>
          <w:rStyle w:val="FootnoteReference"/>
          <w:rFonts w:cs="Arial"/>
          <w:szCs w:val="16"/>
        </w:rPr>
        <w:footnoteRef/>
      </w:r>
      <w:r w:rsidRPr="007C0F42">
        <w:rPr>
          <w:rFonts w:cs="Arial"/>
          <w:szCs w:val="16"/>
        </w:rPr>
        <w:t xml:space="preserve"> Noetic Solutions Pty Limited, Review of Effective Practice in Juvenile Justice, Report for the Minister for Juvenile Justice, January 2010. </w:t>
      </w:r>
    </w:p>
  </w:footnote>
  <w:footnote w:id="12">
    <w:p w14:paraId="18A9C818" w14:textId="77777777" w:rsidR="00D02193" w:rsidRPr="007C0F42" w:rsidRDefault="00D02193" w:rsidP="006457A9">
      <w:pPr>
        <w:pStyle w:val="FootnoteText"/>
        <w:rPr>
          <w:rFonts w:cs="Arial"/>
          <w:szCs w:val="16"/>
        </w:rPr>
      </w:pPr>
      <w:r w:rsidRPr="007C0F42">
        <w:rPr>
          <w:rStyle w:val="FootnoteReference"/>
          <w:rFonts w:cs="Arial"/>
          <w:szCs w:val="16"/>
        </w:rPr>
        <w:footnoteRef/>
      </w:r>
      <w:r w:rsidRPr="007C0F42">
        <w:rPr>
          <w:rFonts w:cs="Arial"/>
          <w:szCs w:val="16"/>
        </w:rPr>
        <w:t xml:space="preserve"> I </w:t>
      </w:r>
      <w:proofErr w:type="spellStart"/>
      <w:r w:rsidRPr="007C0F42">
        <w:rPr>
          <w:rFonts w:cs="Arial"/>
          <w:szCs w:val="16"/>
        </w:rPr>
        <w:t>Lambie</w:t>
      </w:r>
      <w:proofErr w:type="spellEnd"/>
      <w:r w:rsidRPr="007C0F42">
        <w:rPr>
          <w:rFonts w:cs="Arial"/>
          <w:szCs w:val="16"/>
        </w:rPr>
        <w:t xml:space="preserve"> and I Randell, ‘The impact of incarceration on juvenile offenders’, Clinical Psychology Review, 33(3), 2013, pp. 448-59.</w:t>
      </w:r>
    </w:p>
  </w:footnote>
  <w:footnote w:id="13">
    <w:p w14:paraId="5E6FDF31" w14:textId="77777777" w:rsidR="00D02193" w:rsidRDefault="00D02193" w:rsidP="006B15EE">
      <w:pPr>
        <w:pStyle w:val="FootnoteText"/>
      </w:pPr>
      <w:r w:rsidRPr="007C0F42">
        <w:rPr>
          <w:rStyle w:val="FootnoteReference"/>
          <w:rFonts w:cs="Arial"/>
          <w:szCs w:val="16"/>
        </w:rPr>
        <w:footnoteRef/>
      </w:r>
      <w:r w:rsidRPr="007C0F42">
        <w:rPr>
          <w:rFonts w:cs="Arial"/>
          <w:szCs w:val="16"/>
        </w:rPr>
        <w:t xml:space="preserve"> Noetic Solutions Pty Limited, Review of Effective Practice in Juvenile Justice, Report for the Minister for Juvenile Justice, January 2010. </w:t>
      </w:r>
    </w:p>
  </w:footnote>
  <w:footnote w:id="14">
    <w:p w14:paraId="1CC34662" w14:textId="77777777" w:rsidR="00D02193" w:rsidRPr="007C0F42" w:rsidRDefault="00D02193" w:rsidP="001D4B28">
      <w:pPr>
        <w:spacing w:after="0" w:line="240" w:lineRule="auto"/>
        <w:rPr>
          <w:sz w:val="16"/>
          <w:szCs w:val="16"/>
        </w:rPr>
      </w:pPr>
      <w:r w:rsidRPr="007C0F42">
        <w:rPr>
          <w:rStyle w:val="FootnoteReference"/>
          <w:sz w:val="16"/>
          <w:szCs w:val="16"/>
        </w:rPr>
        <w:footnoteRef/>
      </w:r>
      <w:r w:rsidRPr="007C0F42">
        <w:rPr>
          <w:sz w:val="16"/>
          <w:szCs w:val="16"/>
        </w:rPr>
        <w:t xml:space="preserve"> Department of Health and Human Services, </w:t>
      </w:r>
      <w:r w:rsidRPr="007C0F42">
        <w:rPr>
          <w:i/>
          <w:iCs/>
          <w:sz w:val="16"/>
          <w:szCs w:val="16"/>
        </w:rPr>
        <w:t>Youth Parole Board Annual Report 2015–16</w:t>
      </w:r>
      <w:r w:rsidRPr="007C0F42">
        <w:rPr>
          <w:sz w:val="16"/>
          <w:szCs w:val="16"/>
        </w:rPr>
        <w:t>, Victorian Government, Melbourne, August, 2016.</w:t>
      </w:r>
    </w:p>
  </w:footnote>
  <w:footnote w:id="15">
    <w:p w14:paraId="26760F79" w14:textId="77777777" w:rsidR="00D02193" w:rsidRPr="00040DF1" w:rsidRDefault="00D02193" w:rsidP="00D47813">
      <w:pPr>
        <w:spacing w:before="0" w:after="0" w:line="240" w:lineRule="auto"/>
        <w:rPr>
          <w:sz w:val="16"/>
          <w:szCs w:val="16"/>
        </w:rPr>
      </w:pPr>
      <w:r w:rsidRPr="00040DF1">
        <w:rPr>
          <w:rStyle w:val="FootnoteReference"/>
          <w:sz w:val="16"/>
          <w:szCs w:val="16"/>
        </w:rPr>
        <w:footnoteRef/>
      </w:r>
      <w:r w:rsidRPr="00040DF1">
        <w:rPr>
          <w:sz w:val="16"/>
          <w:szCs w:val="16"/>
        </w:rPr>
        <w:t xml:space="preserve"> Victorian Ombudsman, </w:t>
      </w:r>
      <w:r w:rsidRPr="00040DF1">
        <w:rPr>
          <w:i/>
          <w:sz w:val="16"/>
          <w:szCs w:val="16"/>
        </w:rPr>
        <w:t>Report on youth justice facilities at the Grevillea unit of Barwon Prison, Malmsbury and Parkville</w:t>
      </w:r>
      <w:r w:rsidRPr="00040DF1">
        <w:rPr>
          <w:sz w:val="16"/>
          <w:szCs w:val="16"/>
        </w:rPr>
        <w:t>, February 2017, p. 2.</w:t>
      </w:r>
    </w:p>
  </w:footnote>
  <w:footnote w:id="16">
    <w:p w14:paraId="1A3C4B0F" w14:textId="77777777" w:rsidR="00D02193" w:rsidRPr="00040DF1" w:rsidRDefault="00D02193" w:rsidP="00D47813">
      <w:pPr>
        <w:pStyle w:val="FootnoteText"/>
        <w:rPr>
          <w:szCs w:val="16"/>
        </w:rPr>
      </w:pPr>
      <w:r w:rsidRPr="00040DF1">
        <w:rPr>
          <w:rStyle w:val="FootnoteReference"/>
          <w:szCs w:val="16"/>
        </w:rPr>
        <w:footnoteRef/>
      </w:r>
      <w:r w:rsidRPr="00040DF1">
        <w:rPr>
          <w:szCs w:val="16"/>
        </w:rPr>
        <w:t xml:space="preserve"> Human Rights Law Centre, </w:t>
      </w:r>
      <w:r w:rsidRPr="00040DF1">
        <w:rPr>
          <w:i/>
          <w:szCs w:val="16"/>
        </w:rPr>
        <w:t>Serious assault on 16 year old boy further evidence that no child belongs in an adult prison</w:t>
      </w:r>
      <w:r>
        <w:rPr>
          <w:szCs w:val="16"/>
        </w:rPr>
        <w:t xml:space="preserve">, 1 February 2017, </w:t>
      </w:r>
      <w:r w:rsidRPr="00040DF1">
        <w:rPr>
          <w:szCs w:val="16"/>
        </w:rPr>
        <w:t>https://www.hrlc.org.au/news/2017/2/1/serious-assault-on-16-year-old-boy-further-evidence-that-no-child-belongs-in-an-adult-prison</w:t>
      </w:r>
    </w:p>
  </w:footnote>
  <w:footnote w:id="17">
    <w:p w14:paraId="16183779" w14:textId="77777777" w:rsidR="00D02193" w:rsidRPr="00040DF1" w:rsidRDefault="00D02193" w:rsidP="00D47813">
      <w:pPr>
        <w:pStyle w:val="FootnoteText"/>
        <w:rPr>
          <w:szCs w:val="16"/>
        </w:rPr>
      </w:pPr>
      <w:r w:rsidRPr="00040DF1">
        <w:rPr>
          <w:rStyle w:val="FootnoteReference"/>
          <w:szCs w:val="16"/>
        </w:rPr>
        <w:footnoteRef/>
      </w:r>
      <w:r w:rsidRPr="00040DF1">
        <w:rPr>
          <w:szCs w:val="16"/>
        </w:rPr>
        <w:t xml:space="preserve"> Victorian Ombudsman, </w:t>
      </w:r>
      <w:r w:rsidRPr="00B32F2D">
        <w:rPr>
          <w:i/>
          <w:szCs w:val="16"/>
        </w:rPr>
        <w:t>Investigation into children transferred from the youth justice system to the adult prison system</w:t>
      </w:r>
      <w:r w:rsidRPr="00040DF1">
        <w:rPr>
          <w:szCs w:val="16"/>
        </w:rPr>
        <w:t xml:space="preserve">, December 2013. </w:t>
      </w:r>
    </w:p>
  </w:footnote>
  <w:footnote w:id="18">
    <w:p w14:paraId="3A14D933" w14:textId="77777777" w:rsidR="00D02193" w:rsidRDefault="00D02193" w:rsidP="00D47813">
      <w:pPr>
        <w:autoSpaceDE w:val="0"/>
        <w:autoSpaceDN w:val="0"/>
        <w:adjustRightInd w:val="0"/>
        <w:spacing w:before="0" w:after="0" w:line="240" w:lineRule="auto"/>
      </w:pPr>
      <w:r w:rsidRPr="00040DF1">
        <w:rPr>
          <w:rStyle w:val="FootnoteReference"/>
          <w:sz w:val="16"/>
          <w:szCs w:val="16"/>
        </w:rPr>
        <w:footnoteRef/>
      </w:r>
      <w:r w:rsidRPr="00040DF1">
        <w:rPr>
          <w:sz w:val="16"/>
          <w:szCs w:val="16"/>
        </w:rPr>
        <w:t xml:space="preserve"> </w:t>
      </w:r>
      <w:r w:rsidRPr="00040DF1">
        <w:rPr>
          <w:sz w:val="16"/>
          <w:szCs w:val="16"/>
          <w:lang w:val="en-AU"/>
        </w:rPr>
        <w:t>Committee on the rights of the child</w:t>
      </w:r>
      <w:r w:rsidRPr="00040DF1">
        <w:rPr>
          <w:sz w:val="16"/>
          <w:szCs w:val="16"/>
        </w:rPr>
        <w:t xml:space="preserve">, </w:t>
      </w:r>
      <w:r>
        <w:rPr>
          <w:bCs/>
          <w:i/>
          <w:sz w:val="16"/>
          <w:szCs w:val="16"/>
          <w:lang w:val="en-AU"/>
        </w:rPr>
        <w:t>G</w:t>
      </w:r>
      <w:r w:rsidRPr="00B32F2D">
        <w:rPr>
          <w:bCs/>
          <w:i/>
          <w:sz w:val="16"/>
          <w:szCs w:val="16"/>
          <w:lang w:val="en-AU"/>
        </w:rPr>
        <w:t>eneral comment no. 10 (2007), Children’s rights in juvenile justice</w:t>
      </w:r>
      <w:r w:rsidRPr="00040DF1">
        <w:rPr>
          <w:bCs/>
          <w:sz w:val="16"/>
          <w:szCs w:val="16"/>
        </w:rPr>
        <w:t>, paragraph 85, p.23.</w:t>
      </w:r>
    </w:p>
  </w:footnote>
  <w:footnote w:id="19">
    <w:p w14:paraId="4CDD54DD" w14:textId="77777777" w:rsidR="00D02193" w:rsidRDefault="00D02193" w:rsidP="00D47813">
      <w:pPr>
        <w:pStyle w:val="FootnoteText"/>
      </w:pPr>
      <w:r>
        <w:rPr>
          <w:rStyle w:val="FootnoteReference"/>
        </w:rPr>
        <w:footnoteRef/>
      </w:r>
      <w:r>
        <w:t xml:space="preserve"> D </w:t>
      </w:r>
      <w:proofErr w:type="spellStart"/>
      <w:r>
        <w:t>Weatherburn</w:t>
      </w:r>
      <w:proofErr w:type="spellEnd"/>
      <w:r>
        <w:t xml:space="preserve">, S </w:t>
      </w:r>
      <w:proofErr w:type="spellStart"/>
      <w:r>
        <w:t>Vignaendra</w:t>
      </w:r>
      <w:proofErr w:type="spellEnd"/>
      <w:r>
        <w:t xml:space="preserve"> and A McGrath, </w:t>
      </w:r>
      <w:r w:rsidRPr="00304F61">
        <w:rPr>
          <w:i/>
        </w:rPr>
        <w:t>The specific deterrent effect of custodial penalties on juvenile reoffending</w:t>
      </w:r>
      <w:r>
        <w:t xml:space="preserve">, AIC Reports Technical and Background Paper, Australian Institute of Criminology, 2009. </w:t>
      </w:r>
    </w:p>
  </w:footnote>
  <w:footnote w:id="20">
    <w:p w14:paraId="620D8C3B" w14:textId="77777777" w:rsidR="00D02193" w:rsidRPr="006A1ACD" w:rsidRDefault="00D02193" w:rsidP="00D47813">
      <w:pPr>
        <w:pStyle w:val="FootnoteText"/>
      </w:pPr>
      <w:r>
        <w:rPr>
          <w:rStyle w:val="FootnoteReference"/>
        </w:rPr>
        <w:footnoteRef/>
      </w:r>
      <w:r>
        <w:t xml:space="preserve"> D </w:t>
      </w:r>
      <w:proofErr w:type="spellStart"/>
      <w:r>
        <w:t>Weatherburn</w:t>
      </w:r>
      <w:proofErr w:type="spellEnd"/>
      <w:r>
        <w:t xml:space="preserve">, S </w:t>
      </w:r>
      <w:proofErr w:type="spellStart"/>
      <w:r>
        <w:t>Vignaendra</w:t>
      </w:r>
      <w:proofErr w:type="spellEnd"/>
      <w:r>
        <w:t xml:space="preserve"> and A McGrath, </w:t>
      </w:r>
      <w:r w:rsidRPr="00304F61">
        <w:rPr>
          <w:i/>
        </w:rPr>
        <w:t>The specific deterrent effect of custodial penalties on juvenile reoffending</w:t>
      </w:r>
      <w:r>
        <w:t xml:space="preserve">, AIC </w:t>
      </w:r>
      <w:r w:rsidRPr="006A1ACD">
        <w:t xml:space="preserve">Reports Technical and Background Paper, Australian Institute of Criminology, 2009. </w:t>
      </w:r>
    </w:p>
  </w:footnote>
  <w:footnote w:id="21">
    <w:p w14:paraId="3CC9AD7E" w14:textId="77777777" w:rsidR="00D02193" w:rsidRPr="00D56DA7" w:rsidRDefault="00D02193" w:rsidP="00D47813">
      <w:pPr>
        <w:pStyle w:val="FootnoteText"/>
        <w:rPr>
          <w:highlight w:val="yellow"/>
        </w:rPr>
      </w:pPr>
      <w:r w:rsidRPr="006A1ACD">
        <w:rPr>
          <w:rStyle w:val="FootnoteReference"/>
        </w:rPr>
        <w:footnoteRef/>
      </w:r>
      <w:r w:rsidRPr="006A1ACD">
        <w:t xml:space="preserve"> Australian Institute of Health and Welfare, </w:t>
      </w:r>
      <w:r w:rsidRPr="00304F61">
        <w:rPr>
          <w:i/>
        </w:rPr>
        <w:t>Young people aged 10–14 in the youth justice system 2011–12</w:t>
      </w:r>
      <w:r w:rsidRPr="006A1ACD">
        <w:t xml:space="preserve">, AIHW, 2013. </w:t>
      </w:r>
    </w:p>
  </w:footnote>
  <w:footnote w:id="22">
    <w:p w14:paraId="2011907E" w14:textId="77777777" w:rsidR="00D02193" w:rsidRDefault="00D02193" w:rsidP="00D47813">
      <w:pPr>
        <w:pStyle w:val="FootnoteText"/>
      </w:pPr>
      <w:r>
        <w:rPr>
          <w:rStyle w:val="FootnoteReference"/>
        </w:rPr>
        <w:footnoteRef/>
      </w:r>
      <w:r>
        <w:t xml:space="preserve"> Australian Institute of Health and Welfare, </w:t>
      </w:r>
      <w:r w:rsidRPr="00304F61">
        <w:rPr>
          <w:i/>
        </w:rPr>
        <w:t>Young people aged 10–14 in the youth justice system 2011–12</w:t>
      </w:r>
      <w:r>
        <w:t xml:space="preserve">, AIHW, 2013. </w:t>
      </w:r>
    </w:p>
  </w:footnote>
  <w:footnote w:id="23">
    <w:p w14:paraId="5CE103D2" w14:textId="77777777" w:rsidR="00D02193" w:rsidRPr="00561000" w:rsidRDefault="00D02193" w:rsidP="00D47813">
      <w:pPr>
        <w:spacing w:before="0" w:after="0" w:line="240" w:lineRule="auto"/>
        <w:rPr>
          <w:sz w:val="16"/>
          <w:szCs w:val="16"/>
        </w:rPr>
      </w:pPr>
      <w:r w:rsidRPr="00561000">
        <w:rPr>
          <w:rStyle w:val="FootnoteReference"/>
          <w:sz w:val="16"/>
          <w:szCs w:val="16"/>
        </w:rPr>
        <w:footnoteRef/>
      </w:r>
      <w:r w:rsidRPr="00561000">
        <w:rPr>
          <w:sz w:val="16"/>
          <w:szCs w:val="16"/>
        </w:rPr>
        <w:t xml:space="preserve"> Department of Health and Human Services, </w:t>
      </w:r>
      <w:r w:rsidRPr="00561000">
        <w:rPr>
          <w:i/>
          <w:iCs/>
          <w:sz w:val="16"/>
          <w:szCs w:val="16"/>
        </w:rPr>
        <w:t>Youth Parole Board Annual Report 2015–16</w:t>
      </w:r>
      <w:r w:rsidRPr="00561000">
        <w:rPr>
          <w:sz w:val="16"/>
          <w:szCs w:val="16"/>
        </w:rPr>
        <w:t>, Victorian Government, Melbourne, August, 2016.</w:t>
      </w:r>
    </w:p>
  </w:footnote>
  <w:footnote w:id="24">
    <w:p w14:paraId="3F5C6528" w14:textId="77777777" w:rsidR="00D02193" w:rsidRPr="00561000" w:rsidRDefault="00D02193" w:rsidP="00D47813">
      <w:pPr>
        <w:pStyle w:val="FootnoteText"/>
        <w:rPr>
          <w:szCs w:val="16"/>
        </w:rPr>
      </w:pPr>
      <w:r w:rsidRPr="00561000">
        <w:rPr>
          <w:rStyle w:val="FootnoteReference"/>
          <w:szCs w:val="16"/>
        </w:rPr>
        <w:footnoteRef/>
      </w:r>
      <w:r w:rsidRPr="00561000">
        <w:rPr>
          <w:szCs w:val="16"/>
        </w:rPr>
        <w:t xml:space="preserve"> Child Welfare Information Gateway, </w:t>
      </w:r>
      <w:hyperlink r:id="rId1" w:history="1">
        <w:r w:rsidRPr="00561000">
          <w:rPr>
            <w:rStyle w:val="Hyperlink"/>
            <w:i/>
            <w:iCs/>
            <w:sz w:val="16"/>
            <w:szCs w:val="16"/>
          </w:rPr>
          <w:t>Understanding the Effects of Maltreatment on Brain Development: Issue bri</w:t>
        </w:r>
        <w:r w:rsidRPr="00561000">
          <w:rPr>
            <w:rStyle w:val="Hyperlink"/>
            <w:sz w:val="16"/>
            <w:szCs w:val="16"/>
          </w:rPr>
          <w:t>ef</w:t>
        </w:r>
      </w:hyperlink>
      <w:r w:rsidRPr="00561000">
        <w:rPr>
          <w:szCs w:val="16"/>
        </w:rPr>
        <w:t>, Children’s Bureau, U.S. Department of Health and Human Services, April 2015</w:t>
      </w:r>
    </w:p>
  </w:footnote>
  <w:footnote w:id="25">
    <w:p w14:paraId="56A18F83" w14:textId="77777777" w:rsidR="00D02193" w:rsidRPr="00561000" w:rsidRDefault="00D02193" w:rsidP="00D47813">
      <w:pPr>
        <w:pStyle w:val="FootnoteText"/>
        <w:rPr>
          <w:szCs w:val="16"/>
        </w:rPr>
      </w:pPr>
      <w:r w:rsidRPr="00561000">
        <w:rPr>
          <w:rStyle w:val="FootnoteReference"/>
          <w:szCs w:val="16"/>
        </w:rPr>
        <w:footnoteRef/>
      </w:r>
      <w:r w:rsidRPr="00561000">
        <w:rPr>
          <w:szCs w:val="16"/>
        </w:rPr>
        <w:t xml:space="preserve"> Australian Child and Adolescent Trauma, Loss and Grief Network, </w:t>
      </w:r>
      <w:r w:rsidRPr="00304F61">
        <w:rPr>
          <w:i/>
          <w:szCs w:val="16"/>
        </w:rPr>
        <w:t>Trauma, young people and Juvenile Justice</w:t>
      </w:r>
      <w:r w:rsidRPr="00561000">
        <w:rPr>
          <w:szCs w:val="16"/>
        </w:rPr>
        <w:t xml:space="preserve">, Australian Government, Department of Health and Ageing. </w:t>
      </w:r>
    </w:p>
  </w:footnote>
  <w:footnote w:id="26">
    <w:p w14:paraId="0F0B8895" w14:textId="77777777" w:rsidR="00D02193" w:rsidRPr="00561000" w:rsidRDefault="00D02193" w:rsidP="00D47813">
      <w:pPr>
        <w:pStyle w:val="FootnoteText"/>
        <w:rPr>
          <w:szCs w:val="16"/>
        </w:rPr>
      </w:pPr>
      <w:r w:rsidRPr="00561000">
        <w:rPr>
          <w:rStyle w:val="FootnoteReference"/>
          <w:szCs w:val="16"/>
        </w:rPr>
        <w:footnoteRef/>
      </w:r>
      <w:r w:rsidRPr="00561000">
        <w:rPr>
          <w:szCs w:val="16"/>
        </w:rPr>
        <w:t xml:space="preserve"> Australian Child and Adolescent Trauma, Loss and Grief Network, </w:t>
      </w:r>
      <w:r w:rsidRPr="00304F61">
        <w:rPr>
          <w:i/>
          <w:szCs w:val="16"/>
        </w:rPr>
        <w:t>Trauma, young people and Juvenile Justice</w:t>
      </w:r>
      <w:r w:rsidRPr="00561000">
        <w:rPr>
          <w:szCs w:val="16"/>
        </w:rPr>
        <w:t xml:space="preserve">, Australian Government, Department of Health and Ageing. </w:t>
      </w:r>
    </w:p>
  </w:footnote>
  <w:footnote w:id="27">
    <w:p w14:paraId="4883767F" w14:textId="77777777" w:rsidR="00D02193" w:rsidRDefault="00D02193" w:rsidP="00D47813">
      <w:pPr>
        <w:pStyle w:val="FootnoteText"/>
      </w:pPr>
      <w:r w:rsidRPr="00561000">
        <w:rPr>
          <w:rStyle w:val="FootnoteReference"/>
          <w:szCs w:val="16"/>
        </w:rPr>
        <w:footnoteRef/>
      </w:r>
      <w:r w:rsidRPr="00561000">
        <w:rPr>
          <w:szCs w:val="16"/>
        </w:rPr>
        <w:t xml:space="preserve">E Allison and S </w:t>
      </w:r>
      <w:proofErr w:type="spellStart"/>
      <w:r w:rsidRPr="00561000">
        <w:rPr>
          <w:szCs w:val="16"/>
        </w:rPr>
        <w:t>Hattenstone</w:t>
      </w:r>
      <w:proofErr w:type="spellEnd"/>
      <w:r w:rsidRPr="00561000">
        <w:rPr>
          <w:szCs w:val="16"/>
        </w:rPr>
        <w:t xml:space="preserve">, </w:t>
      </w:r>
      <w:r w:rsidRPr="00561000">
        <w:rPr>
          <w:i/>
          <w:szCs w:val="16"/>
        </w:rPr>
        <w:t>Tough love: is this a model prison for children</w:t>
      </w:r>
      <w:proofErr w:type="gramStart"/>
      <w:r w:rsidRPr="00561000">
        <w:rPr>
          <w:i/>
          <w:szCs w:val="16"/>
        </w:rPr>
        <w:t>?,</w:t>
      </w:r>
      <w:proofErr w:type="gramEnd"/>
      <w:r w:rsidRPr="00561000">
        <w:rPr>
          <w:szCs w:val="16"/>
        </w:rPr>
        <w:t xml:space="preserve"> The Guardian, 8 November 2014. </w:t>
      </w:r>
    </w:p>
  </w:footnote>
  <w:footnote w:id="28">
    <w:p w14:paraId="7665D314" w14:textId="77777777" w:rsidR="00D02193" w:rsidRDefault="00D02193" w:rsidP="00D47813">
      <w:pPr>
        <w:pStyle w:val="FootnoteText"/>
      </w:pPr>
      <w:r>
        <w:rPr>
          <w:rStyle w:val="FootnoteReference"/>
        </w:rPr>
        <w:footnoteRef/>
      </w:r>
      <w:r>
        <w:t xml:space="preserve"> Australian Human Rights Commission, </w:t>
      </w:r>
      <w:r w:rsidRPr="00D109ED">
        <w:rPr>
          <w:i/>
          <w:iCs/>
        </w:rPr>
        <w:t>Children’s rights report 2016</w:t>
      </w:r>
      <w:r>
        <w:t>, National Children’s Commissioner, Australian Human Rights Commission 2016P.81</w:t>
      </w:r>
    </w:p>
  </w:footnote>
  <w:footnote w:id="29">
    <w:p w14:paraId="3B5FAA84" w14:textId="77777777" w:rsidR="00D02193" w:rsidRPr="005B7EC3" w:rsidRDefault="00D02193" w:rsidP="00D47813">
      <w:pPr>
        <w:pStyle w:val="FootnoteText"/>
        <w:rPr>
          <w:i/>
          <w:szCs w:val="16"/>
        </w:rPr>
      </w:pPr>
      <w:r w:rsidRPr="00873CBE">
        <w:rPr>
          <w:rStyle w:val="FootnoteReference"/>
          <w:szCs w:val="16"/>
        </w:rPr>
        <w:footnoteRef/>
      </w:r>
      <w:r w:rsidRPr="00873CBE">
        <w:rPr>
          <w:szCs w:val="16"/>
        </w:rPr>
        <w:t xml:space="preserve"> </w:t>
      </w:r>
      <w:proofErr w:type="spellStart"/>
      <w:r w:rsidRPr="00873CBE">
        <w:rPr>
          <w:szCs w:val="16"/>
        </w:rPr>
        <w:t>Youthlaw</w:t>
      </w:r>
      <w:proofErr w:type="spellEnd"/>
      <w:r w:rsidRPr="00873CBE">
        <w:rPr>
          <w:szCs w:val="16"/>
        </w:rPr>
        <w:t xml:space="preserve"> and Smart Justice for Young People, </w:t>
      </w:r>
      <w:r w:rsidRPr="005B7EC3">
        <w:rPr>
          <w:i/>
          <w:szCs w:val="16"/>
        </w:rPr>
        <w:t xml:space="preserve">Submission to the inquiry by the Legal and Social Issues Committee into </w:t>
      </w:r>
    </w:p>
    <w:p w14:paraId="601D545B" w14:textId="77777777" w:rsidR="00D02193" w:rsidRDefault="00D02193" w:rsidP="00D47813">
      <w:pPr>
        <w:pStyle w:val="FootnoteText"/>
      </w:pPr>
      <w:r w:rsidRPr="005B7EC3">
        <w:rPr>
          <w:i/>
          <w:szCs w:val="16"/>
        </w:rPr>
        <w:t>Youth Justice Centres</w:t>
      </w:r>
      <w:r w:rsidRPr="00873CBE">
        <w:rPr>
          <w:szCs w:val="16"/>
        </w:rPr>
        <w:t>, March 2017.</w:t>
      </w:r>
    </w:p>
  </w:footnote>
  <w:footnote w:id="30">
    <w:p w14:paraId="603A0F0F" w14:textId="77777777" w:rsidR="00D02193" w:rsidRPr="00561000" w:rsidRDefault="00D02193" w:rsidP="00D47813">
      <w:pPr>
        <w:pStyle w:val="FootnoteText"/>
        <w:rPr>
          <w:szCs w:val="16"/>
        </w:rPr>
      </w:pPr>
      <w:r w:rsidRPr="00561000">
        <w:rPr>
          <w:rStyle w:val="FootnoteReference"/>
          <w:szCs w:val="16"/>
        </w:rPr>
        <w:footnoteRef/>
      </w:r>
      <w:r w:rsidRPr="00561000">
        <w:rPr>
          <w:szCs w:val="16"/>
        </w:rPr>
        <w:t xml:space="preserve"> United Nations, </w:t>
      </w:r>
      <w:r w:rsidRPr="00304F61">
        <w:rPr>
          <w:i/>
          <w:szCs w:val="16"/>
        </w:rPr>
        <w:t>Convention on the Rights of the Child</w:t>
      </w:r>
      <w:r w:rsidRPr="00561000">
        <w:rPr>
          <w:szCs w:val="16"/>
        </w:rPr>
        <w:t>, Article 28.</w:t>
      </w:r>
    </w:p>
  </w:footnote>
  <w:footnote w:id="31">
    <w:p w14:paraId="2E6090C9" w14:textId="77777777" w:rsidR="00D02193" w:rsidRPr="00561000" w:rsidRDefault="00D02193" w:rsidP="00D47813">
      <w:pPr>
        <w:pStyle w:val="FootnoteText"/>
        <w:rPr>
          <w:szCs w:val="16"/>
        </w:rPr>
      </w:pPr>
      <w:r w:rsidRPr="00561000">
        <w:rPr>
          <w:rStyle w:val="FootnoteReference"/>
          <w:szCs w:val="16"/>
        </w:rPr>
        <w:footnoteRef/>
      </w:r>
      <w:r w:rsidRPr="00561000">
        <w:rPr>
          <w:szCs w:val="16"/>
        </w:rPr>
        <w:t xml:space="preserve"> Parkville College, </w:t>
      </w:r>
      <w:hyperlink r:id="rId2" w:history="1">
        <w:r w:rsidRPr="00561000">
          <w:rPr>
            <w:rStyle w:val="Hyperlink"/>
            <w:sz w:val="16"/>
            <w:szCs w:val="16"/>
          </w:rPr>
          <w:t>http://parkvillecollege.vic.edu.au/?page_id=14</w:t>
        </w:r>
      </w:hyperlink>
      <w:r>
        <w:rPr>
          <w:rStyle w:val="Hyperlink"/>
          <w:sz w:val="16"/>
          <w:szCs w:val="16"/>
        </w:rPr>
        <w:t xml:space="preserve">, </w:t>
      </w:r>
      <w:r w:rsidRPr="00304F61">
        <w:rPr>
          <w:rStyle w:val="Hyperlink"/>
          <w:color w:val="auto"/>
          <w:sz w:val="16"/>
          <w:szCs w:val="16"/>
          <w:u w:val="none"/>
        </w:rPr>
        <w:t>accessed 27 February 2017.</w:t>
      </w:r>
      <w:r w:rsidRPr="00304F61">
        <w:rPr>
          <w:szCs w:val="16"/>
        </w:rPr>
        <w:t xml:space="preserve">  </w:t>
      </w:r>
    </w:p>
  </w:footnote>
  <w:footnote w:id="32">
    <w:p w14:paraId="499F3CCB" w14:textId="77777777" w:rsidR="00D02193" w:rsidRPr="00561000" w:rsidRDefault="00D02193" w:rsidP="00D47813">
      <w:pPr>
        <w:pStyle w:val="FootnoteText"/>
        <w:rPr>
          <w:szCs w:val="16"/>
        </w:rPr>
      </w:pPr>
      <w:r w:rsidRPr="00561000">
        <w:rPr>
          <w:rStyle w:val="FootnoteReference"/>
          <w:szCs w:val="16"/>
        </w:rPr>
        <w:footnoteRef/>
      </w:r>
      <w:r w:rsidRPr="00561000">
        <w:rPr>
          <w:szCs w:val="16"/>
        </w:rPr>
        <w:t xml:space="preserve"> M </w:t>
      </w:r>
      <w:proofErr w:type="spellStart"/>
      <w:r w:rsidRPr="00561000">
        <w:rPr>
          <w:szCs w:val="16"/>
        </w:rPr>
        <w:t>McInerty</w:t>
      </w:r>
      <w:proofErr w:type="spellEnd"/>
      <w:r w:rsidRPr="00561000">
        <w:rPr>
          <w:szCs w:val="16"/>
        </w:rPr>
        <w:t xml:space="preserve">, </w:t>
      </w:r>
      <w:r w:rsidRPr="00304F61">
        <w:rPr>
          <w:i/>
          <w:szCs w:val="16"/>
        </w:rPr>
        <w:t>Putting culture and community at the heart of Just Justice for Aboriginal and Torres Strait Islander youth</w:t>
      </w:r>
      <w:r w:rsidRPr="00561000">
        <w:rPr>
          <w:szCs w:val="16"/>
        </w:rPr>
        <w:t xml:space="preserve">, </w:t>
      </w:r>
      <w:proofErr w:type="spellStart"/>
      <w:r w:rsidRPr="00561000">
        <w:rPr>
          <w:szCs w:val="16"/>
        </w:rPr>
        <w:t>Croakey</w:t>
      </w:r>
      <w:proofErr w:type="spellEnd"/>
      <w:r w:rsidRPr="00561000">
        <w:rPr>
          <w:szCs w:val="16"/>
        </w:rPr>
        <w:t>, March 2016.</w:t>
      </w:r>
    </w:p>
  </w:footnote>
  <w:footnote w:id="33">
    <w:p w14:paraId="7CEC2669" w14:textId="018A7AFC" w:rsidR="00D02193" w:rsidRPr="00561000" w:rsidRDefault="00D02193" w:rsidP="00D47813">
      <w:pPr>
        <w:pStyle w:val="FootnoteText"/>
        <w:rPr>
          <w:szCs w:val="16"/>
        </w:rPr>
      </w:pPr>
      <w:r w:rsidRPr="00561000">
        <w:rPr>
          <w:rStyle w:val="FootnoteReference"/>
          <w:szCs w:val="16"/>
        </w:rPr>
        <w:footnoteRef/>
      </w:r>
      <w:r w:rsidRPr="00561000">
        <w:rPr>
          <w:szCs w:val="16"/>
        </w:rPr>
        <w:t xml:space="preserve"> Parkville College, </w:t>
      </w:r>
      <w:hyperlink r:id="rId3" w:history="1">
        <w:r w:rsidRPr="00561000">
          <w:rPr>
            <w:rStyle w:val="Hyperlink"/>
            <w:sz w:val="16"/>
            <w:szCs w:val="16"/>
          </w:rPr>
          <w:t>http://parkvillecollege.vic.edu.au/?page_id=14</w:t>
        </w:r>
      </w:hyperlink>
      <w:r>
        <w:rPr>
          <w:szCs w:val="16"/>
        </w:rPr>
        <w:t xml:space="preserve">, </w:t>
      </w:r>
      <w:r w:rsidRPr="00304F61">
        <w:rPr>
          <w:rStyle w:val="Hyperlink"/>
          <w:color w:val="auto"/>
          <w:sz w:val="16"/>
          <w:szCs w:val="16"/>
          <w:u w:val="none"/>
        </w:rPr>
        <w:t>accessed 27 February 2017.</w:t>
      </w:r>
    </w:p>
  </w:footnote>
  <w:footnote w:id="34">
    <w:p w14:paraId="0A8A9537" w14:textId="77777777" w:rsidR="00D02193" w:rsidRPr="00561000" w:rsidRDefault="00D02193" w:rsidP="00D47813">
      <w:pPr>
        <w:pStyle w:val="FootnoteText"/>
        <w:rPr>
          <w:szCs w:val="16"/>
        </w:rPr>
      </w:pPr>
      <w:r w:rsidRPr="00561000">
        <w:rPr>
          <w:rStyle w:val="FootnoteReference"/>
          <w:szCs w:val="16"/>
        </w:rPr>
        <w:footnoteRef/>
      </w:r>
      <w:r w:rsidRPr="00561000">
        <w:rPr>
          <w:szCs w:val="16"/>
        </w:rPr>
        <w:t xml:space="preserve"> M </w:t>
      </w:r>
      <w:proofErr w:type="spellStart"/>
      <w:r w:rsidRPr="00561000">
        <w:rPr>
          <w:szCs w:val="16"/>
        </w:rPr>
        <w:t>McInerty</w:t>
      </w:r>
      <w:proofErr w:type="spellEnd"/>
      <w:r w:rsidRPr="00561000">
        <w:rPr>
          <w:szCs w:val="16"/>
        </w:rPr>
        <w:t xml:space="preserve">, </w:t>
      </w:r>
      <w:r w:rsidRPr="00304F61">
        <w:rPr>
          <w:i/>
          <w:szCs w:val="16"/>
        </w:rPr>
        <w:t>Putting culture and community at the heart of Just Justice for Aboriginal and Torres Strait Islander youth</w:t>
      </w:r>
      <w:r w:rsidRPr="00561000">
        <w:rPr>
          <w:szCs w:val="16"/>
        </w:rPr>
        <w:t xml:space="preserve">, </w:t>
      </w:r>
      <w:proofErr w:type="spellStart"/>
      <w:r w:rsidRPr="00561000">
        <w:rPr>
          <w:szCs w:val="16"/>
        </w:rPr>
        <w:t>Croakey</w:t>
      </w:r>
      <w:proofErr w:type="spellEnd"/>
      <w:r w:rsidRPr="00561000">
        <w:rPr>
          <w:szCs w:val="16"/>
        </w:rPr>
        <w:t>, March 2016.</w:t>
      </w:r>
    </w:p>
  </w:footnote>
  <w:footnote w:id="35">
    <w:p w14:paraId="018B1741" w14:textId="77777777" w:rsidR="00D02193" w:rsidRPr="00561000" w:rsidRDefault="00D02193" w:rsidP="00D47813">
      <w:pPr>
        <w:spacing w:before="0" w:after="0" w:line="240" w:lineRule="auto"/>
        <w:rPr>
          <w:sz w:val="16"/>
          <w:szCs w:val="16"/>
        </w:rPr>
      </w:pPr>
      <w:r w:rsidRPr="00561000">
        <w:rPr>
          <w:rStyle w:val="FootnoteReference"/>
          <w:sz w:val="16"/>
          <w:szCs w:val="16"/>
        </w:rPr>
        <w:footnoteRef/>
      </w:r>
      <w:r w:rsidRPr="00561000">
        <w:rPr>
          <w:sz w:val="16"/>
          <w:szCs w:val="16"/>
        </w:rPr>
        <w:t xml:space="preserve"> Victorian Ombudsman, </w:t>
      </w:r>
      <w:r w:rsidRPr="00561000">
        <w:rPr>
          <w:i/>
          <w:sz w:val="16"/>
          <w:szCs w:val="16"/>
        </w:rPr>
        <w:t>Report on youth justice facilities at the Grevillea unit of Barwon Prison, Malmsbury and Parkville</w:t>
      </w:r>
      <w:r w:rsidRPr="00561000">
        <w:rPr>
          <w:sz w:val="16"/>
          <w:szCs w:val="16"/>
        </w:rPr>
        <w:t>, February 2017, p. 3.</w:t>
      </w:r>
    </w:p>
  </w:footnote>
  <w:footnote w:id="36">
    <w:p w14:paraId="5007DBE6" w14:textId="77777777" w:rsidR="00D02193" w:rsidRPr="00561000" w:rsidRDefault="00D02193" w:rsidP="00D47813">
      <w:pPr>
        <w:spacing w:before="0" w:after="0" w:line="240" w:lineRule="auto"/>
        <w:rPr>
          <w:sz w:val="16"/>
          <w:szCs w:val="16"/>
        </w:rPr>
      </w:pPr>
      <w:r w:rsidRPr="00561000">
        <w:rPr>
          <w:rStyle w:val="FootnoteReference"/>
          <w:sz w:val="16"/>
          <w:szCs w:val="16"/>
        </w:rPr>
        <w:footnoteRef/>
      </w:r>
      <w:r w:rsidRPr="00561000">
        <w:rPr>
          <w:sz w:val="16"/>
          <w:szCs w:val="16"/>
        </w:rPr>
        <w:t xml:space="preserve"> Victorian Ombudsman, </w:t>
      </w:r>
      <w:r w:rsidRPr="00561000">
        <w:rPr>
          <w:i/>
          <w:sz w:val="16"/>
          <w:szCs w:val="16"/>
        </w:rPr>
        <w:t>Report on youth justice facilities at the Grevillea unit of Barwon Prison, Malmsbury and Parkville</w:t>
      </w:r>
      <w:r w:rsidRPr="00561000">
        <w:rPr>
          <w:sz w:val="16"/>
          <w:szCs w:val="16"/>
        </w:rPr>
        <w:t>, February 2017, p. 2.</w:t>
      </w:r>
    </w:p>
  </w:footnote>
  <w:footnote w:id="37">
    <w:p w14:paraId="588BE4BD" w14:textId="77777777" w:rsidR="00D02193" w:rsidRPr="00530B6B" w:rsidRDefault="00D02193" w:rsidP="00D47813">
      <w:pPr>
        <w:spacing w:before="0" w:after="0" w:line="240" w:lineRule="auto"/>
        <w:rPr>
          <w:sz w:val="16"/>
          <w:szCs w:val="16"/>
        </w:rPr>
      </w:pPr>
      <w:r w:rsidRPr="00561000">
        <w:rPr>
          <w:rStyle w:val="FootnoteReference"/>
          <w:sz w:val="16"/>
          <w:szCs w:val="16"/>
        </w:rPr>
        <w:footnoteRef/>
      </w:r>
      <w:r w:rsidRPr="00561000">
        <w:rPr>
          <w:sz w:val="16"/>
          <w:szCs w:val="16"/>
        </w:rPr>
        <w:t xml:space="preserve"> Victorian Ombudsman, </w:t>
      </w:r>
      <w:r w:rsidRPr="00561000">
        <w:rPr>
          <w:i/>
          <w:sz w:val="16"/>
          <w:szCs w:val="16"/>
        </w:rPr>
        <w:t>Report on youth justice facilities at the Grevillea unit of Barwon Prison, Malmsbury and Parkville</w:t>
      </w:r>
      <w:r w:rsidRPr="00561000">
        <w:rPr>
          <w:sz w:val="16"/>
          <w:szCs w:val="16"/>
        </w:rPr>
        <w:t>, February 2017, p. 2.</w:t>
      </w:r>
    </w:p>
  </w:footnote>
  <w:footnote w:id="38">
    <w:p w14:paraId="09D31854" w14:textId="77777777" w:rsidR="00D02193" w:rsidRDefault="00D02193" w:rsidP="00D47813">
      <w:pPr>
        <w:pStyle w:val="FootnoteText"/>
      </w:pPr>
      <w:r>
        <w:rPr>
          <w:rStyle w:val="FootnoteReference"/>
        </w:rPr>
        <w:footnoteRef/>
      </w:r>
      <w:r>
        <w:t xml:space="preserve"> College of Human Ecology, </w:t>
      </w:r>
      <w:r w:rsidRPr="00304F61">
        <w:rPr>
          <w:i/>
        </w:rPr>
        <w:t>TCI System Overview</w:t>
      </w:r>
      <w:r>
        <w:t>,</w:t>
      </w:r>
      <w:r w:rsidRPr="00830F83">
        <w:t xml:space="preserve"> </w:t>
      </w:r>
      <w:hyperlink r:id="rId4" w:history="1">
        <w:r w:rsidRPr="005A76C5">
          <w:rPr>
            <w:rStyle w:val="Hyperlink"/>
            <w:sz w:val="16"/>
          </w:rPr>
          <w:t>http://rccp.cornell.edu/tci/tci-1_system.html</w:t>
        </w:r>
      </w:hyperlink>
      <w:r>
        <w:t xml:space="preserve">, accessed 21 February 2017. </w:t>
      </w:r>
    </w:p>
  </w:footnote>
  <w:footnote w:id="39">
    <w:p w14:paraId="0259170D" w14:textId="77777777" w:rsidR="00D02193" w:rsidRDefault="00D02193" w:rsidP="00D47813">
      <w:pPr>
        <w:pStyle w:val="FootnoteText"/>
      </w:pPr>
      <w:r>
        <w:rPr>
          <w:rStyle w:val="FootnoteReference"/>
        </w:rPr>
        <w:footnoteRef/>
      </w:r>
      <w:r>
        <w:t xml:space="preserve"> Centre for Excellence in Child and Family Welfare, </w:t>
      </w:r>
      <w:r w:rsidRPr="00304F61">
        <w:rPr>
          <w:i/>
        </w:rPr>
        <w:t>Therapeutic Crisis Intervention</w:t>
      </w:r>
      <w:r>
        <w:t>,</w:t>
      </w:r>
      <w:r w:rsidRPr="00830F83">
        <w:t xml:space="preserve"> </w:t>
      </w:r>
      <w:hyperlink r:id="rId5" w:history="1">
        <w:r w:rsidRPr="005A76C5">
          <w:rPr>
            <w:rStyle w:val="Hyperlink"/>
            <w:sz w:val="16"/>
          </w:rPr>
          <w:t>http://www.cfecfw.asn.au/learning-and-development/residential-care-learning-and-development-strategy/rclds-events-and-forum-0</w:t>
        </w:r>
      </w:hyperlink>
      <w:r>
        <w:t>, accessed 21 February 2017.</w:t>
      </w:r>
    </w:p>
  </w:footnote>
  <w:footnote w:id="40">
    <w:p w14:paraId="2ED5FA9B" w14:textId="77777777" w:rsidR="00D02193" w:rsidRDefault="00D02193" w:rsidP="00D47813">
      <w:pPr>
        <w:pStyle w:val="FootnoteText"/>
      </w:pPr>
      <w:r>
        <w:rPr>
          <w:rStyle w:val="FootnoteReference"/>
        </w:rPr>
        <w:footnoteRef/>
      </w:r>
      <w:r>
        <w:t xml:space="preserve"> Human Rights Law Centres, </w:t>
      </w:r>
      <w:hyperlink r:id="rId6" w:history="1">
        <w:r w:rsidRPr="00A60415">
          <w:rPr>
            <w:rStyle w:val="Hyperlink"/>
            <w:i/>
            <w:sz w:val="16"/>
          </w:rPr>
          <w:t>Moving youth justice to adult corrections the wrong approach</w:t>
        </w:r>
      </w:hyperlink>
      <w:r>
        <w:t xml:space="preserve">, </w:t>
      </w:r>
      <w:r w:rsidRPr="003874C8">
        <w:t>February 2017</w:t>
      </w:r>
      <w:r>
        <w:t xml:space="preserve">. </w:t>
      </w:r>
    </w:p>
  </w:footnote>
  <w:footnote w:id="41">
    <w:p w14:paraId="61FBDE95" w14:textId="77777777" w:rsidR="00D02193" w:rsidRDefault="00D02193" w:rsidP="00D47813">
      <w:pPr>
        <w:pStyle w:val="FootnoteText"/>
      </w:pPr>
      <w:r>
        <w:rPr>
          <w:rStyle w:val="FootnoteReference"/>
        </w:rPr>
        <w:footnoteRef/>
      </w:r>
      <w:r>
        <w:t xml:space="preserve"> </w:t>
      </w:r>
      <w:r w:rsidRPr="003F088D">
        <w:rPr>
          <w:rFonts w:asciiTheme="minorBidi" w:eastAsia="Times New Roman" w:hAnsiTheme="minorBidi" w:cs="Arial"/>
          <w:szCs w:val="16"/>
          <w:lang w:val="en-US"/>
        </w:rPr>
        <w:t xml:space="preserve">Children, Youth And Families Act 2005 </w:t>
      </w:r>
      <w:r>
        <w:rPr>
          <w:rFonts w:asciiTheme="minorBidi" w:eastAsia="Times New Roman" w:hAnsiTheme="minorBidi" w:cs="Arial"/>
          <w:szCs w:val="16"/>
          <w:lang w:val="en-US"/>
        </w:rPr>
        <w:t>- S</w:t>
      </w:r>
      <w:r w:rsidRPr="003F088D">
        <w:rPr>
          <w:rFonts w:asciiTheme="minorBidi" w:eastAsia="Times New Roman" w:hAnsiTheme="minorBidi" w:cs="Arial"/>
          <w:szCs w:val="16"/>
          <w:lang w:val="en-US"/>
        </w:rPr>
        <w:t>ect 488</w:t>
      </w:r>
    </w:p>
  </w:footnote>
  <w:footnote w:id="42">
    <w:p w14:paraId="1696D58B" w14:textId="77777777" w:rsidR="00D02193" w:rsidRDefault="00D02193" w:rsidP="00D47813">
      <w:pPr>
        <w:pStyle w:val="FootnoteText"/>
      </w:pPr>
      <w:r>
        <w:rPr>
          <w:rStyle w:val="FootnoteReference"/>
        </w:rPr>
        <w:footnoteRef/>
      </w:r>
      <w:r>
        <w:t xml:space="preserve"> Australian Human Rights Commission, </w:t>
      </w:r>
      <w:r w:rsidRPr="00D109ED">
        <w:rPr>
          <w:i/>
          <w:iCs/>
        </w:rPr>
        <w:t>Children’s rights report 2016</w:t>
      </w:r>
      <w:r>
        <w:t>, National Children’s Commissioner, Australian Human Rights Commission 2016, p.62</w:t>
      </w:r>
    </w:p>
  </w:footnote>
  <w:footnote w:id="43">
    <w:p w14:paraId="338B000D" w14:textId="77777777" w:rsidR="00D02193" w:rsidRPr="00561000" w:rsidRDefault="00D02193" w:rsidP="00D47813">
      <w:pPr>
        <w:pStyle w:val="FootnoteText"/>
        <w:rPr>
          <w:szCs w:val="16"/>
        </w:rPr>
      </w:pPr>
      <w:r w:rsidRPr="00561000">
        <w:rPr>
          <w:rStyle w:val="FootnoteReference"/>
          <w:szCs w:val="16"/>
        </w:rPr>
        <w:footnoteRef/>
      </w:r>
      <w:r w:rsidRPr="00561000">
        <w:rPr>
          <w:szCs w:val="16"/>
        </w:rPr>
        <w:t xml:space="preserve"> Australian Human Rights Commission, </w:t>
      </w:r>
      <w:r w:rsidRPr="00561000">
        <w:rPr>
          <w:i/>
          <w:iCs/>
          <w:szCs w:val="16"/>
        </w:rPr>
        <w:t>Children’s rights report 2016</w:t>
      </w:r>
      <w:r w:rsidRPr="00561000">
        <w:rPr>
          <w:szCs w:val="16"/>
        </w:rPr>
        <w:t>, National Children’s Commissioner, Australian Human Rights Commission 2016, p.61</w:t>
      </w:r>
    </w:p>
  </w:footnote>
  <w:footnote w:id="44">
    <w:p w14:paraId="768DC24B" w14:textId="77777777" w:rsidR="00D02193" w:rsidRPr="00561000" w:rsidRDefault="00D02193" w:rsidP="00D47813">
      <w:pPr>
        <w:pStyle w:val="FootnoteText"/>
        <w:rPr>
          <w:szCs w:val="16"/>
        </w:rPr>
      </w:pPr>
      <w:r w:rsidRPr="00561000">
        <w:rPr>
          <w:rStyle w:val="FootnoteReference"/>
          <w:szCs w:val="16"/>
        </w:rPr>
        <w:footnoteRef/>
      </w:r>
      <w:r w:rsidRPr="00561000">
        <w:rPr>
          <w:szCs w:val="16"/>
        </w:rPr>
        <w:t xml:space="preserve"> </w:t>
      </w:r>
      <w:r w:rsidRPr="00561000">
        <w:rPr>
          <w:rFonts w:asciiTheme="minorBidi" w:eastAsia="Times New Roman" w:hAnsiTheme="minorBidi" w:cs="Arial"/>
          <w:szCs w:val="16"/>
          <w:lang w:val="en-US"/>
        </w:rPr>
        <w:t>Children, Youth And Families Act 2005 - Sect 488</w:t>
      </w:r>
    </w:p>
  </w:footnote>
  <w:footnote w:id="45">
    <w:p w14:paraId="3763B3B4" w14:textId="77777777" w:rsidR="00D02193" w:rsidRPr="00561000" w:rsidRDefault="00D02193" w:rsidP="00D47813">
      <w:pPr>
        <w:pStyle w:val="FootnoteText"/>
        <w:rPr>
          <w:szCs w:val="16"/>
        </w:rPr>
      </w:pPr>
      <w:r w:rsidRPr="00561000">
        <w:rPr>
          <w:rStyle w:val="FootnoteReference"/>
          <w:szCs w:val="16"/>
        </w:rPr>
        <w:footnoteRef/>
      </w:r>
      <w:r w:rsidRPr="00561000">
        <w:rPr>
          <w:szCs w:val="16"/>
        </w:rPr>
        <w:t xml:space="preserve"> Australian Human Rights Commission, </w:t>
      </w:r>
      <w:r w:rsidRPr="00561000">
        <w:rPr>
          <w:i/>
          <w:iCs/>
          <w:szCs w:val="16"/>
        </w:rPr>
        <w:t>Children’s rights report 2016</w:t>
      </w:r>
      <w:r w:rsidRPr="00561000">
        <w:rPr>
          <w:szCs w:val="16"/>
        </w:rPr>
        <w:t>, National Children’s Commissioner, Australian Human Rights Commission 2016P.81</w:t>
      </w:r>
    </w:p>
  </w:footnote>
  <w:footnote w:id="46">
    <w:p w14:paraId="06F1CEFF" w14:textId="77777777" w:rsidR="00D02193" w:rsidRPr="005B7EC3" w:rsidRDefault="00D02193" w:rsidP="00D47813">
      <w:pPr>
        <w:pStyle w:val="FootnoteText"/>
        <w:rPr>
          <w:i/>
          <w:szCs w:val="16"/>
        </w:rPr>
      </w:pPr>
      <w:r w:rsidRPr="00873CBE">
        <w:rPr>
          <w:rStyle w:val="FootnoteReference"/>
          <w:szCs w:val="16"/>
        </w:rPr>
        <w:footnoteRef/>
      </w:r>
      <w:r w:rsidRPr="00873CBE">
        <w:rPr>
          <w:szCs w:val="16"/>
        </w:rPr>
        <w:t xml:space="preserve"> </w:t>
      </w:r>
      <w:proofErr w:type="spellStart"/>
      <w:r w:rsidRPr="00873CBE">
        <w:rPr>
          <w:szCs w:val="16"/>
        </w:rPr>
        <w:t>Youthlaw</w:t>
      </w:r>
      <w:proofErr w:type="spellEnd"/>
      <w:r w:rsidRPr="00873CBE">
        <w:rPr>
          <w:szCs w:val="16"/>
        </w:rPr>
        <w:t xml:space="preserve"> and Smart Justice for Young People, </w:t>
      </w:r>
      <w:r w:rsidRPr="005B7EC3">
        <w:rPr>
          <w:i/>
          <w:szCs w:val="16"/>
        </w:rPr>
        <w:t xml:space="preserve">Submission to the inquiry by the Legal and Social Issues Committee into </w:t>
      </w:r>
    </w:p>
    <w:p w14:paraId="059EAE82" w14:textId="77777777" w:rsidR="00D02193" w:rsidRDefault="00D02193" w:rsidP="00D47813">
      <w:pPr>
        <w:pStyle w:val="FootnoteText"/>
      </w:pPr>
      <w:r w:rsidRPr="005B7EC3">
        <w:rPr>
          <w:i/>
          <w:szCs w:val="16"/>
        </w:rPr>
        <w:t>Youth Justice Centres</w:t>
      </w:r>
      <w:r w:rsidRPr="00873CBE">
        <w:rPr>
          <w:szCs w:val="16"/>
        </w:rPr>
        <w:t>, March 2017.</w:t>
      </w:r>
    </w:p>
  </w:footnote>
  <w:footnote w:id="47">
    <w:p w14:paraId="3399689A" w14:textId="77777777" w:rsidR="00D02193" w:rsidRDefault="00D02193" w:rsidP="00D47813">
      <w:pPr>
        <w:pStyle w:val="FootnoteText"/>
      </w:pPr>
      <w:r>
        <w:rPr>
          <w:rStyle w:val="FootnoteReference"/>
        </w:rPr>
        <w:footnoteRef/>
      </w:r>
      <w:r>
        <w:t xml:space="preserve"> Youth Affairs Council of Victoria, </w:t>
      </w:r>
      <w:r w:rsidRPr="007F77F3">
        <w:rPr>
          <w:i/>
        </w:rPr>
        <w:t>Inquiry into Youth Justice Centres in Victoria, A submission to the inquiry by the Standing Committee on Legal and Social Issues, Parliament of Victoria</w:t>
      </w:r>
      <w:r>
        <w:t>, March 2017.</w:t>
      </w:r>
    </w:p>
  </w:footnote>
  <w:footnote w:id="48">
    <w:p w14:paraId="1F4E9857" w14:textId="77777777" w:rsidR="00D02193" w:rsidRPr="00561000" w:rsidRDefault="00D02193" w:rsidP="00D47813">
      <w:pPr>
        <w:spacing w:before="0" w:after="0" w:line="240" w:lineRule="auto"/>
        <w:rPr>
          <w:rFonts w:asciiTheme="minorBidi" w:hAnsiTheme="minorBidi"/>
          <w:sz w:val="16"/>
          <w:szCs w:val="16"/>
        </w:rPr>
      </w:pPr>
      <w:r w:rsidRPr="00561000">
        <w:rPr>
          <w:rStyle w:val="FootnoteReference"/>
          <w:rFonts w:asciiTheme="minorBidi" w:hAnsiTheme="minorBidi"/>
          <w:sz w:val="16"/>
          <w:szCs w:val="16"/>
        </w:rPr>
        <w:footnoteRef/>
      </w:r>
      <w:r w:rsidRPr="00561000">
        <w:rPr>
          <w:rFonts w:asciiTheme="minorBidi" w:hAnsiTheme="minorBidi"/>
          <w:sz w:val="16"/>
          <w:szCs w:val="16"/>
        </w:rPr>
        <w:t xml:space="preserve"> Ombudsman Victoria, </w:t>
      </w:r>
      <w:r w:rsidRPr="00561000">
        <w:rPr>
          <w:rFonts w:asciiTheme="minorBidi" w:hAnsiTheme="minorBidi"/>
          <w:i/>
          <w:iCs/>
          <w:sz w:val="16"/>
          <w:szCs w:val="16"/>
        </w:rPr>
        <w:t>Whistleblowers Protection Act 2001 Investigation into conditions at the Melbourne Youth Justice Precinct</w:t>
      </w:r>
      <w:r w:rsidRPr="00561000">
        <w:rPr>
          <w:rFonts w:asciiTheme="minorBidi" w:hAnsiTheme="minorBidi"/>
          <w:sz w:val="16"/>
          <w:szCs w:val="16"/>
        </w:rPr>
        <w:t>, October 2010.</w:t>
      </w:r>
    </w:p>
  </w:footnote>
  <w:footnote w:id="49">
    <w:p w14:paraId="25370485" w14:textId="77777777" w:rsidR="00D02193" w:rsidRPr="00561000" w:rsidRDefault="00D02193" w:rsidP="00D47813">
      <w:pPr>
        <w:spacing w:before="0" w:after="0" w:line="240" w:lineRule="auto"/>
        <w:rPr>
          <w:sz w:val="16"/>
          <w:szCs w:val="16"/>
        </w:rPr>
      </w:pPr>
      <w:r w:rsidRPr="00561000">
        <w:rPr>
          <w:rStyle w:val="FootnoteReference"/>
          <w:sz w:val="16"/>
          <w:szCs w:val="16"/>
        </w:rPr>
        <w:footnoteRef/>
      </w:r>
      <w:r w:rsidRPr="00561000">
        <w:rPr>
          <w:sz w:val="16"/>
          <w:szCs w:val="16"/>
        </w:rPr>
        <w:t xml:space="preserve"> Victorian Ombudsman, </w:t>
      </w:r>
      <w:r w:rsidRPr="00561000">
        <w:rPr>
          <w:i/>
          <w:sz w:val="16"/>
          <w:szCs w:val="16"/>
        </w:rPr>
        <w:t>Report on youth justice facilities at the Grevillea unit of Barwon Prison, Malmsbury and Parkville</w:t>
      </w:r>
      <w:r w:rsidRPr="00561000">
        <w:rPr>
          <w:sz w:val="16"/>
          <w:szCs w:val="16"/>
        </w:rPr>
        <w:t>, February 2017, p. 2.</w:t>
      </w:r>
    </w:p>
  </w:footnote>
  <w:footnote w:id="50">
    <w:p w14:paraId="4AB51DA9" w14:textId="77777777" w:rsidR="00D02193" w:rsidRDefault="00D02193" w:rsidP="00D47813">
      <w:pPr>
        <w:pStyle w:val="FootnoteText"/>
      </w:pPr>
      <w:r w:rsidRPr="00561000">
        <w:rPr>
          <w:rStyle w:val="FootnoteReference"/>
          <w:szCs w:val="16"/>
        </w:rPr>
        <w:footnoteRef/>
      </w:r>
      <w:r w:rsidRPr="00561000">
        <w:rPr>
          <w:szCs w:val="16"/>
        </w:rPr>
        <w:t xml:space="preserve"> Jesuit Social Services, </w:t>
      </w:r>
      <w:r w:rsidRPr="00B32F2D">
        <w:rPr>
          <w:i/>
          <w:szCs w:val="16"/>
        </w:rPr>
        <w:t>Transfer of youth justice to Department of Justice counter-productive to community safety</w:t>
      </w:r>
      <w:r w:rsidRPr="00561000">
        <w:rPr>
          <w:szCs w:val="16"/>
        </w:rPr>
        <w:t>, 6 February 2017.</w:t>
      </w:r>
      <w:r>
        <w:t xml:space="preserve"> </w:t>
      </w:r>
    </w:p>
  </w:footnote>
  <w:footnote w:id="51">
    <w:p w14:paraId="213FB0D7" w14:textId="77777777" w:rsidR="00D02193" w:rsidRPr="005B7EC3" w:rsidRDefault="00D02193" w:rsidP="00D47813">
      <w:pPr>
        <w:pStyle w:val="FootnoteText"/>
        <w:rPr>
          <w:i/>
          <w:szCs w:val="16"/>
        </w:rPr>
      </w:pPr>
      <w:r w:rsidRPr="00873CBE">
        <w:rPr>
          <w:rStyle w:val="FootnoteReference"/>
          <w:szCs w:val="16"/>
        </w:rPr>
        <w:footnoteRef/>
      </w:r>
      <w:r w:rsidRPr="00873CBE">
        <w:rPr>
          <w:szCs w:val="16"/>
        </w:rPr>
        <w:t xml:space="preserve"> </w:t>
      </w:r>
      <w:proofErr w:type="spellStart"/>
      <w:r w:rsidRPr="00873CBE">
        <w:rPr>
          <w:szCs w:val="16"/>
        </w:rPr>
        <w:t>Youthlaw</w:t>
      </w:r>
      <w:proofErr w:type="spellEnd"/>
      <w:r w:rsidRPr="00873CBE">
        <w:rPr>
          <w:szCs w:val="16"/>
        </w:rPr>
        <w:t xml:space="preserve"> and Smart Justice for Young People, </w:t>
      </w:r>
      <w:r w:rsidRPr="005B7EC3">
        <w:rPr>
          <w:i/>
          <w:szCs w:val="16"/>
        </w:rPr>
        <w:t xml:space="preserve">Submission to the inquiry by the Legal and Social Issues Committee into </w:t>
      </w:r>
    </w:p>
    <w:p w14:paraId="236FF6C8" w14:textId="77777777" w:rsidR="00D02193" w:rsidRDefault="00D02193" w:rsidP="00D47813">
      <w:pPr>
        <w:pStyle w:val="FootnoteText"/>
      </w:pPr>
      <w:r w:rsidRPr="005B7EC3">
        <w:rPr>
          <w:i/>
          <w:szCs w:val="16"/>
        </w:rPr>
        <w:t>Youth Justice Centres</w:t>
      </w:r>
      <w:r w:rsidRPr="00873CBE">
        <w:rPr>
          <w:szCs w:val="16"/>
        </w:rPr>
        <w:t>, March 2017.</w:t>
      </w:r>
    </w:p>
  </w:footnote>
  <w:footnote w:id="52">
    <w:p w14:paraId="195B25DC" w14:textId="77777777" w:rsidR="00D02193" w:rsidRPr="005B7EC3" w:rsidRDefault="00D02193" w:rsidP="00D47813">
      <w:pPr>
        <w:pStyle w:val="FootnoteText"/>
        <w:rPr>
          <w:i/>
          <w:szCs w:val="16"/>
        </w:rPr>
      </w:pPr>
      <w:r w:rsidRPr="00873CBE">
        <w:rPr>
          <w:rStyle w:val="FootnoteReference"/>
          <w:szCs w:val="16"/>
        </w:rPr>
        <w:footnoteRef/>
      </w:r>
      <w:r w:rsidRPr="00873CBE">
        <w:rPr>
          <w:szCs w:val="16"/>
        </w:rPr>
        <w:t xml:space="preserve"> </w:t>
      </w:r>
      <w:proofErr w:type="spellStart"/>
      <w:r w:rsidRPr="00873CBE">
        <w:rPr>
          <w:szCs w:val="16"/>
        </w:rPr>
        <w:t>Youthlaw</w:t>
      </w:r>
      <w:proofErr w:type="spellEnd"/>
      <w:r w:rsidRPr="00873CBE">
        <w:rPr>
          <w:szCs w:val="16"/>
        </w:rPr>
        <w:t xml:space="preserve"> and Smart Justice for Young People, </w:t>
      </w:r>
      <w:r w:rsidRPr="005B7EC3">
        <w:rPr>
          <w:i/>
          <w:szCs w:val="16"/>
        </w:rPr>
        <w:t xml:space="preserve">Submission to the inquiry by the Legal and Social Issues Committee into </w:t>
      </w:r>
    </w:p>
    <w:p w14:paraId="58C81C2C" w14:textId="77777777" w:rsidR="00D02193" w:rsidRDefault="00D02193" w:rsidP="00D47813">
      <w:pPr>
        <w:pStyle w:val="FootnoteText"/>
      </w:pPr>
      <w:r w:rsidRPr="005B7EC3">
        <w:rPr>
          <w:i/>
          <w:szCs w:val="16"/>
        </w:rPr>
        <w:t>Youth Justice Centres</w:t>
      </w:r>
      <w:r w:rsidRPr="00873CBE">
        <w:rPr>
          <w:szCs w:val="16"/>
        </w:rPr>
        <w:t>, March 2017.</w:t>
      </w:r>
    </w:p>
  </w:footnote>
  <w:footnote w:id="53">
    <w:p w14:paraId="29D71CD5" w14:textId="52B274DD" w:rsidR="00D02193" w:rsidRDefault="00D02193">
      <w:pPr>
        <w:pStyle w:val="FootnoteText"/>
      </w:pPr>
      <w:r>
        <w:rPr>
          <w:rStyle w:val="FootnoteReference"/>
        </w:rPr>
        <w:footnoteRef/>
      </w:r>
      <w:r>
        <w:t xml:space="preserve"> Australian Institute of Criminology, What makes juvenile offenders different from adult offenders</w:t>
      </w:r>
      <w:proofErr w:type="gramStart"/>
      <w:r>
        <w:t>?,</w:t>
      </w:r>
      <w:proofErr w:type="gramEnd"/>
      <w:r>
        <w:t xml:space="preserve"> Trends &amp; issues in crime and criminal justice, No. 409 February 2011. </w:t>
      </w:r>
    </w:p>
  </w:footnote>
  <w:footnote w:id="54">
    <w:p w14:paraId="5B37EA67" w14:textId="432E5BD8" w:rsidR="00D02193" w:rsidRPr="007C0F42" w:rsidRDefault="00D02193" w:rsidP="0055481D">
      <w:pPr>
        <w:pStyle w:val="Heading2"/>
        <w:shd w:val="clear" w:color="auto" w:fill="FFFFFF"/>
        <w:spacing w:before="0" w:after="0"/>
        <w:rPr>
          <w:sz w:val="16"/>
          <w:szCs w:val="16"/>
        </w:rPr>
      </w:pPr>
      <w:r w:rsidRPr="007C0F42">
        <w:rPr>
          <w:rStyle w:val="FootnoteReference"/>
          <w:rFonts w:asciiTheme="minorBidi" w:hAnsiTheme="minorBidi" w:cstheme="minorBidi"/>
          <w:color w:val="auto"/>
          <w:sz w:val="16"/>
          <w:szCs w:val="16"/>
        </w:rPr>
        <w:footnoteRef/>
      </w:r>
      <w:r w:rsidRPr="007C0F42">
        <w:rPr>
          <w:rFonts w:asciiTheme="minorBidi" w:hAnsiTheme="minorBidi" w:cstheme="minorBidi"/>
          <w:color w:val="auto"/>
          <w:sz w:val="16"/>
          <w:szCs w:val="16"/>
        </w:rPr>
        <w:t xml:space="preserve"> </w:t>
      </w:r>
      <w:r w:rsidRPr="007C0F42">
        <w:rPr>
          <w:rFonts w:asciiTheme="minorBidi" w:hAnsiTheme="minorBidi" w:cstheme="minorBidi"/>
          <w:b w:val="0"/>
          <w:bCs w:val="0"/>
          <w:color w:val="auto"/>
          <w:sz w:val="16"/>
          <w:szCs w:val="16"/>
        </w:rPr>
        <w:t xml:space="preserve">K Richards, </w:t>
      </w:r>
      <w:r w:rsidRPr="007C0F42">
        <w:rPr>
          <w:rFonts w:asciiTheme="minorBidi" w:hAnsiTheme="minorBidi" w:cstheme="minorBidi"/>
          <w:b w:val="0"/>
          <w:bCs w:val="0"/>
          <w:i/>
          <w:iCs/>
          <w:color w:val="auto"/>
          <w:sz w:val="16"/>
          <w:szCs w:val="16"/>
        </w:rPr>
        <w:t>What makes juvenile offenders different from adult offenders?</w:t>
      </w:r>
      <w:r>
        <w:rPr>
          <w:rFonts w:asciiTheme="minorBidi" w:hAnsiTheme="minorBidi" w:cstheme="minorBidi"/>
          <w:b w:val="0"/>
          <w:bCs w:val="0"/>
          <w:color w:val="auto"/>
          <w:sz w:val="16"/>
          <w:szCs w:val="16"/>
        </w:rPr>
        <w:t>:</w:t>
      </w:r>
      <w:r w:rsidRPr="007C0F42">
        <w:rPr>
          <w:rFonts w:asciiTheme="minorBidi" w:hAnsiTheme="minorBidi" w:cstheme="minorBidi"/>
          <w:b w:val="0"/>
          <w:bCs w:val="0"/>
          <w:color w:val="auto"/>
          <w:sz w:val="16"/>
          <w:szCs w:val="16"/>
        </w:rPr>
        <w:t xml:space="preserve"> </w:t>
      </w:r>
      <w:r w:rsidRPr="008F1628">
        <w:rPr>
          <w:rFonts w:asciiTheme="minorBidi" w:hAnsiTheme="minorBidi" w:cstheme="minorBidi"/>
          <w:b w:val="0"/>
          <w:bCs w:val="0"/>
          <w:i/>
          <w:color w:val="auto"/>
          <w:sz w:val="16"/>
          <w:szCs w:val="16"/>
        </w:rPr>
        <w:t>Trends &amp; Issues in Crime and Criminal Justice no. 409</w:t>
      </w:r>
      <w:r w:rsidRPr="007C0F42">
        <w:rPr>
          <w:rFonts w:asciiTheme="minorBidi" w:hAnsiTheme="minorBidi" w:cstheme="minorBidi"/>
          <w:b w:val="0"/>
          <w:bCs w:val="0"/>
          <w:color w:val="auto"/>
          <w:sz w:val="16"/>
          <w:szCs w:val="16"/>
        </w:rPr>
        <w:t xml:space="preserve">, </w:t>
      </w:r>
      <w:r w:rsidRPr="007C0F42">
        <w:rPr>
          <w:rFonts w:asciiTheme="minorBidi" w:hAnsiTheme="minorBidi" w:cstheme="minorBidi"/>
          <w:b w:val="0"/>
          <w:bCs w:val="0"/>
          <w:color w:val="auto"/>
          <w:sz w:val="16"/>
          <w:szCs w:val="16"/>
          <w:shd w:val="clear" w:color="auto" w:fill="FFFFFF"/>
        </w:rPr>
        <w:t>Australian Institute of Criminology, February 2011.</w:t>
      </w:r>
    </w:p>
  </w:footnote>
  <w:footnote w:id="55">
    <w:p w14:paraId="562A57E0" w14:textId="77777777" w:rsidR="00D02193" w:rsidRPr="007C0F42" w:rsidRDefault="00D02193" w:rsidP="000F2E44">
      <w:pPr>
        <w:pStyle w:val="FootnoteText"/>
        <w:rPr>
          <w:szCs w:val="16"/>
        </w:rPr>
      </w:pPr>
      <w:r w:rsidRPr="007C0F42">
        <w:rPr>
          <w:rStyle w:val="FootnoteReference"/>
          <w:szCs w:val="16"/>
        </w:rPr>
        <w:footnoteRef/>
      </w:r>
      <w:r w:rsidRPr="007C0F42">
        <w:rPr>
          <w:szCs w:val="16"/>
        </w:rPr>
        <w:t xml:space="preserve"> The Royal Society, </w:t>
      </w:r>
      <w:hyperlink r:id="rId7" w:history="1">
        <w:r w:rsidRPr="007C0F42">
          <w:rPr>
            <w:rStyle w:val="Hyperlink"/>
            <w:i/>
            <w:iCs/>
            <w:sz w:val="16"/>
            <w:szCs w:val="16"/>
          </w:rPr>
          <w:t>Brain Waves Module 4: Neuroscience and the law</w:t>
        </w:r>
      </w:hyperlink>
      <w:r w:rsidRPr="007C0F42">
        <w:rPr>
          <w:szCs w:val="16"/>
        </w:rPr>
        <w:t>, The Royal Society, December 2011.</w:t>
      </w:r>
    </w:p>
  </w:footnote>
  <w:footnote w:id="56">
    <w:p w14:paraId="317A1C05" w14:textId="157B90F0" w:rsidR="00D02193" w:rsidRPr="007C0F42" w:rsidRDefault="00D02193" w:rsidP="000F2E44">
      <w:pPr>
        <w:pStyle w:val="FootnoteText"/>
        <w:rPr>
          <w:szCs w:val="16"/>
        </w:rPr>
      </w:pPr>
      <w:r w:rsidRPr="007C0F42">
        <w:rPr>
          <w:rStyle w:val="FootnoteReference"/>
          <w:szCs w:val="16"/>
        </w:rPr>
        <w:footnoteRef/>
      </w:r>
      <w:r w:rsidRPr="007C0F42">
        <w:rPr>
          <w:szCs w:val="16"/>
        </w:rPr>
        <w:t xml:space="preserve"> J </w:t>
      </w:r>
      <w:proofErr w:type="spellStart"/>
      <w:r w:rsidRPr="007C0F42">
        <w:rPr>
          <w:szCs w:val="16"/>
        </w:rPr>
        <w:t>Edersheim</w:t>
      </w:r>
      <w:proofErr w:type="spellEnd"/>
      <w:r w:rsidRPr="007C0F42">
        <w:rPr>
          <w:szCs w:val="16"/>
        </w:rPr>
        <w:t xml:space="preserve">, G </w:t>
      </w:r>
      <w:proofErr w:type="spellStart"/>
      <w:r w:rsidRPr="007C0F42">
        <w:rPr>
          <w:szCs w:val="16"/>
        </w:rPr>
        <w:t>Beresin</w:t>
      </w:r>
      <w:proofErr w:type="spellEnd"/>
      <w:r w:rsidRPr="007C0F42">
        <w:rPr>
          <w:szCs w:val="16"/>
        </w:rPr>
        <w:t xml:space="preserve"> and S </w:t>
      </w:r>
      <w:proofErr w:type="spellStart"/>
      <w:r w:rsidRPr="007C0F42">
        <w:rPr>
          <w:szCs w:val="16"/>
        </w:rPr>
        <w:t>Schlozman</w:t>
      </w:r>
      <w:proofErr w:type="spellEnd"/>
      <w:r w:rsidRPr="007C0F42">
        <w:rPr>
          <w:szCs w:val="16"/>
        </w:rPr>
        <w:t xml:space="preserve">, </w:t>
      </w:r>
      <w:hyperlink r:id="rId8" w:history="1">
        <w:r w:rsidRPr="008F1628">
          <w:rPr>
            <w:rStyle w:val="Hyperlink"/>
            <w:i/>
            <w:iCs/>
            <w:sz w:val="16"/>
            <w:szCs w:val="16"/>
          </w:rPr>
          <w:t>Are teenagers responsible</w:t>
        </w:r>
      </w:hyperlink>
      <w:proofErr w:type="gramStart"/>
      <w:r w:rsidRPr="007C0F42">
        <w:rPr>
          <w:i/>
          <w:iCs/>
          <w:szCs w:val="16"/>
        </w:rPr>
        <w:t>?</w:t>
      </w:r>
      <w:r w:rsidRPr="007C0F42">
        <w:rPr>
          <w:szCs w:val="16"/>
        </w:rPr>
        <w:t>,</w:t>
      </w:r>
      <w:proofErr w:type="gramEnd"/>
      <w:r w:rsidRPr="007C0F42">
        <w:rPr>
          <w:szCs w:val="16"/>
        </w:rPr>
        <w:t xml:space="preserve"> The Massachusetts General Hospital </w:t>
      </w:r>
      <w:proofErr w:type="spellStart"/>
      <w:r w:rsidRPr="007C0F42">
        <w:rPr>
          <w:szCs w:val="16"/>
        </w:rPr>
        <w:t>Center</w:t>
      </w:r>
      <w:proofErr w:type="spellEnd"/>
      <w:r w:rsidRPr="007C0F42">
        <w:rPr>
          <w:szCs w:val="16"/>
        </w:rPr>
        <w:t xml:space="preserve"> for Law, Brain, and </w:t>
      </w:r>
      <w:proofErr w:type="spellStart"/>
      <w:r w:rsidRPr="007C0F42">
        <w:rPr>
          <w:szCs w:val="16"/>
        </w:rPr>
        <w:t>Behavior</w:t>
      </w:r>
      <w:proofErr w:type="spellEnd"/>
      <w:r w:rsidRPr="007C0F42">
        <w:rPr>
          <w:szCs w:val="16"/>
        </w:rPr>
        <w:t xml:space="preserve">, September 2013. </w:t>
      </w:r>
    </w:p>
  </w:footnote>
  <w:footnote w:id="57">
    <w:p w14:paraId="52B59C64" w14:textId="77777777" w:rsidR="00D02193" w:rsidRPr="007C0F42" w:rsidRDefault="00D02193" w:rsidP="0077474E">
      <w:pPr>
        <w:pStyle w:val="FootnoteText"/>
        <w:rPr>
          <w:szCs w:val="16"/>
        </w:rPr>
      </w:pPr>
      <w:r w:rsidRPr="007C0F42">
        <w:rPr>
          <w:rStyle w:val="FootnoteReference"/>
          <w:szCs w:val="16"/>
        </w:rPr>
        <w:footnoteRef/>
      </w:r>
      <w:r w:rsidRPr="007C0F42">
        <w:rPr>
          <w:szCs w:val="16"/>
        </w:rPr>
        <w:t xml:space="preserve"> The Royal Society, </w:t>
      </w:r>
      <w:hyperlink r:id="rId9" w:history="1">
        <w:r w:rsidRPr="007C0F42">
          <w:rPr>
            <w:rStyle w:val="Hyperlink"/>
            <w:i/>
            <w:iCs/>
            <w:sz w:val="16"/>
            <w:szCs w:val="16"/>
          </w:rPr>
          <w:t>Brain Waves Module 4: Neuroscience and the law</w:t>
        </w:r>
      </w:hyperlink>
      <w:r w:rsidRPr="007C0F42">
        <w:rPr>
          <w:szCs w:val="16"/>
        </w:rPr>
        <w:t>, The Royal Society, December 2011.</w:t>
      </w:r>
    </w:p>
  </w:footnote>
  <w:footnote w:id="58">
    <w:p w14:paraId="559D9CB8" w14:textId="77777777" w:rsidR="00D02193" w:rsidRPr="007C0F42" w:rsidRDefault="00D02193" w:rsidP="008F1628">
      <w:pPr>
        <w:pStyle w:val="FootnoteText"/>
        <w:rPr>
          <w:szCs w:val="16"/>
        </w:rPr>
      </w:pPr>
      <w:r w:rsidRPr="007C0F42">
        <w:rPr>
          <w:rStyle w:val="FootnoteReference"/>
          <w:szCs w:val="16"/>
        </w:rPr>
        <w:footnoteRef/>
      </w:r>
      <w:r w:rsidRPr="007C0F42">
        <w:rPr>
          <w:szCs w:val="16"/>
        </w:rPr>
        <w:t xml:space="preserve"> J </w:t>
      </w:r>
      <w:proofErr w:type="spellStart"/>
      <w:r w:rsidRPr="007C0F42">
        <w:rPr>
          <w:szCs w:val="16"/>
        </w:rPr>
        <w:t>Edersheim</w:t>
      </w:r>
      <w:proofErr w:type="spellEnd"/>
      <w:r w:rsidRPr="007C0F42">
        <w:rPr>
          <w:szCs w:val="16"/>
        </w:rPr>
        <w:t xml:space="preserve">, G </w:t>
      </w:r>
      <w:proofErr w:type="spellStart"/>
      <w:r w:rsidRPr="007C0F42">
        <w:rPr>
          <w:szCs w:val="16"/>
        </w:rPr>
        <w:t>Beresin</w:t>
      </w:r>
      <w:proofErr w:type="spellEnd"/>
      <w:r w:rsidRPr="007C0F42">
        <w:rPr>
          <w:szCs w:val="16"/>
        </w:rPr>
        <w:t xml:space="preserve"> and S </w:t>
      </w:r>
      <w:proofErr w:type="spellStart"/>
      <w:r w:rsidRPr="007C0F42">
        <w:rPr>
          <w:szCs w:val="16"/>
        </w:rPr>
        <w:t>Schlozman</w:t>
      </w:r>
      <w:proofErr w:type="spellEnd"/>
      <w:r w:rsidRPr="007C0F42">
        <w:rPr>
          <w:szCs w:val="16"/>
        </w:rPr>
        <w:t xml:space="preserve">, </w:t>
      </w:r>
      <w:hyperlink r:id="rId10" w:history="1">
        <w:r w:rsidRPr="008F1628">
          <w:rPr>
            <w:rStyle w:val="Hyperlink"/>
            <w:i/>
            <w:iCs/>
            <w:sz w:val="16"/>
            <w:szCs w:val="16"/>
          </w:rPr>
          <w:t>Are teenagers responsible</w:t>
        </w:r>
      </w:hyperlink>
      <w:proofErr w:type="gramStart"/>
      <w:r w:rsidRPr="007C0F42">
        <w:rPr>
          <w:i/>
          <w:iCs/>
          <w:szCs w:val="16"/>
        </w:rPr>
        <w:t>?</w:t>
      </w:r>
      <w:r w:rsidRPr="007C0F42">
        <w:rPr>
          <w:szCs w:val="16"/>
        </w:rPr>
        <w:t>,</w:t>
      </w:r>
      <w:proofErr w:type="gramEnd"/>
      <w:r w:rsidRPr="007C0F42">
        <w:rPr>
          <w:szCs w:val="16"/>
        </w:rPr>
        <w:t xml:space="preserve"> The Massachusetts General Hospital </w:t>
      </w:r>
      <w:proofErr w:type="spellStart"/>
      <w:r w:rsidRPr="007C0F42">
        <w:rPr>
          <w:szCs w:val="16"/>
        </w:rPr>
        <w:t>Center</w:t>
      </w:r>
      <w:proofErr w:type="spellEnd"/>
      <w:r w:rsidRPr="007C0F42">
        <w:rPr>
          <w:szCs w:val="16"/>
        </w:rPr>
        <w:t xml:space="preserve"> for Law, Brain, and </w:t>
      </w:r>
      <w:proofErr w:type="spellStart"/>
      <w:r w:rsidRPr="007C0F42">
        <w:rPr>
          <w:szCs w:val="16"/>
        </w:rPr>
        <w:t>Behavior</w:t>
      </w:r>
      <w:proofErr w:type="spellEnd"/>
      <w:r w:rsidRPr="007C0F42">
        <w:rPr>
          <w:szCs w:val="16"/>
        </w:rPr>
        <w:t xml:space="preserve">, September 2013. </w:t>
      </w:r>
    </w:p>
  </w:footnote>
  <w:footnote w:id="59">
    <w:p w14:paraId="25C77E89" w14:textId="77777777" w:rsidR="00D02193" w:rsidRPr="007C0F42" w:rsidRDefault="00D02193" w:rsidP="0055481D">
      <w:pPr>
        <w:pStyle w:val="Heading2"/>
        <w:shd w:val="clear" w:color="auto" w:fill="FFFFFF"/>
        <w:spacing w:before="0" w:after="0"/>
        <w:rPr>
          <w:b w:val="0"/>
          <w:bCs w:val="0"/>
          <w:sz w:val="16"/>
          <w:szCs w:val="16"/>
        </w:rPr>
      </w:pPr>
      <w:r w:rsidRPr="007C0F42">
        <w:rPr>
          <w:rStyle w:val="FootnoteReference"/>
          <w:rFonts w:asciiTheme="minorBidi" w:hAnsiTheme="minorBidi" w:cstheme="minorBidi"/>
          <w:b w:val="0"/>
          <w:bCs w:val="0"/>
          <w:color w:val="auto"/>
          <w:sz w:val="16"/>
          <w:szCs w:val="16"/>
        </w:rPr>
        <w:footnoteRef/>
      </w:r>
      <w:r w:rsidRPr="007C0F42">
        <w:rPr>
          <w:rFonts w:asciiTheme="minorBidi" w:hAnsiTheme="minorBidi" w:cstheme="minorBidi"/>
          <w:b w:val="0"/>
          <w:bCs w:val="0"/>
          <w:color w:val="auto"/>
          <w:sz w:val="16"/>
          <w:szCs w:val="16"/>
        </w:rPr>
        <w:t xml:space="preserve"> K Richards, </w:t>
      </w:r>
      <w:r w:rsidRPr="007C0F42">
        <w:rPr>
          <w:rFonts w:asciiTheme="minorBidi" w:hAnsiTheme="minorBidi" w:cstheme="minorBidi"/>
          <w:b w:val="0"/>
          <w:bCs w:val="0"/>
          <w:i/>
          <w:iCs/>
          <w:color w:val="auto"/>
          <w:sz w:val="16"/>
          <w:szCs w:val="16"/>
        </w:rPr>
        <w:t>What makes juvenile offenders different from adult offenders?</w:t>
      </w:r>
      <w:r w:rsidRPr="007C0F42">
        <w:rPr>
          <w:rFonts w:asciiTheme="minorBidi" w:hAnsiTheme="minorBidi" w:cstheme="minorBidi"/>
          <w:b w:val="0"/>
          <w:bCs w:val="0"/>
          <w:color w:val="auto"/>
          <w:sz w:val="16"/>
          <w:szCs w:val="16"/>
        </w:rPr>
        <w:t xml:space="preserve">, Trends &amp; Issues in Crime and Criminal Justice no. 409, </w:t>
      </w:r>
      <w:r w:rsidRPr="007C0F42">
        <w:rPr>
          <w:rFonts w:asciiTheme="minorBidi" w:hAnsiTheme="minorBidi" w:cstheme="minorBidi"/>
          <w:b w:val="0"/>
          <w:bCs w:val="0"/>
          <w:color w:val="auto"/>
          <w:sz w:val="16"/>
          <w:szCs w:val="16"/>
          <w:shd w:val="clear" w:color="auto" w:fill="FFFFFF"/>
        </w:rPr>
        <w:t>Australian Institute of Criminology, February 2011.</w:t>
      </w:r>
    </w:p>
  </w:footnote>
  <w:footnote w:id="60">
    <w:p w14:paraId="377FD332" w14:textId="77777777" w:rsidR="00D02193" w:rsidRPr="007C0F42" w:rsidRDefault="00D02193" w:rsidP="00C87B60">
      <w:pPr>
        <w:spacing w:before="0" w:after="0" w:line="240" w:lineRule="auto"/>
        <w:rPr>
          <w:sz w:val="16"/>
          <w:szCs w:val="16"/>
        </w:rPr>
      </w:pPr>
      <w:r w:rsidRPr="007C0F42">
        <w:rPr>
          <w:rStyle w:val="FootnoteReference"/>
          <w:sz w:val="16"/>
          <w:szCs w:val="16"/>
        </w:rPr>
        <w:footnoteRef/>
      </w:r>
      <w:r w:rsidRPr="007C0F42">
        <w:rPr>
          <w:sz w:val="16"/>
          <w:szCs w:val="16"/>
        </w:rPr>
        <w:t xml:space="preserve"> </w:t>
      </w:r>
      <w:r w:rsidRPr="007C0F42">
        <w:rPr>
          <w:rFonts w:asciiTheme="minorBidi" w:hAnsiTheme="minorBidi" w:cstheme="minorBidi"/>
          <w:sz w:val="16"/>
          <w:szCs w:val="16"/>
        </w:rPr>
        <w:t xml:space="preserve">L Steinberg, ‘A Social Neuroscience Perspective on Adolescent Risk-Taking’, </w:t>
      </w:r>
      <w:r w:rsidRPr="007C0F42">
        <w:rPr>
          <w:rFonts w:asciiTheme="minorBidi" w:hAnsiTheme="minorBidi" w:cstheme="minorBidi"/>
          <w:i/>
          <w:iCs/>
          <w:sz w:val="16"/>
          <w:szCs w:val="16"/>
        </w:rPr>
        <w:t>Developmental Review</w:t>
      </w:r>
      <w:r w:rsidRPr="007C0F42">
        <w:rPr>
          <w:rFonts w:asciiTheme="minorBidi" w:hAnsiTheme="minorBidi" w:cstheme="minorBidi"/>
          <w:sz w:val="16"/>
          <w:szCs w:val="16"/>
        </w:rPr>
        <w:t>, 28(1), March 2008, pp. 78–106.</w:t>
      </w:r>
    </w:p>
  </w:footnote>
  <w:footnote w:id="61">
    <w:p w14:paraId="714E18FF" w14:textId="77777777" w:rsidR="00D02193" w:rsidRPr="007C0F42" w:rsidRDefault="00D02193" w:rsidP="0055481D">
      <w:pPr>
        <w:spacing w:before="0" w:after="0" w:line="240" w:lineRule="auto"/>
        <w:rPr>
          <w:sz w:val="16"/>
          <w:szCs w:val="16"/>
        </w:rPr>
      </w:pPr>
      <w:r w:rsidRPr="007C0F42">
        <w:rPr>
          <w:rStyle w:val="FootnoteReference"/>
          <w:sz w:val="16"/>
          <w:szCs w:val="16"/>
        </w:rPr>
        <w:footnoteRef/>
      </w:r>
      <w:r w:rsidRPr="007C0F42">
        <w:rPr>
          <w:sz w:val="16"/>
          <w:szCs w:val="16"/>
        </w:rPr>
        <w:t xml:space="preserve"> L Jordan and James Farrell, </w:t>
      </w:r>
      <w:r w:rsidRPr="007C0F42">
        <w:rPr>
          <w:i/>
          <w:iCs/>
          <w:sz w:val="16"/>
          <w:szCs w:val="16"/>
        </w:rPr>
        <w:t>Juvenile Justice Diversion in Victoria: A Blank Canvas</w:t>
      </w:r>
      <w:proofErr w:type="gramStart"/>
      <w:r w:rsidRPr="007C0F42">
        <w:rPr>
          <w:i/>
          <w:iCs/>
          <w:sz w:val="16"/>
          <w:szCs w:val="16"/>
        </w:rPr>
        <w:t>?</w:t>
      </w:r>
      <w:r w:rsidRPr="007C0F42">
        <w:rPr>
          <w:sz w:val="16"/>
          <w:szCs w:val="16"/>
        </w:rPr>
        <w:t>,</w:t>
      </w:r>
      <w:proofErr w:type="gramEnd"/>
      <w:r w:rsidRPr="007C0F42">
        <w:rPr>
          <w:sz w:val="16"/>
          <w:szCs w:val="16"/>
        </w:rPr>
        <w:t xml:space="preserve"> Current Issues in Criminal Justice, Volume 24 Number 3, March 2013. </w:t>
      </w:r>
    </w:p>
  </w:footnote>
  <w:footnote w:id="62">
    <w:p w14:paraId="5C21D690" w14:textId="77777777" w:rsidR="00D02193" w:rsidRPr="00822814" w:rsidRDefault="00D02193" w:rsidP="0055481D">
      <w:pPr>
        <w:pStyle w:val="Heading2"/>
        <w:shd w:val="clear" w:color="auto" w:fill="FFFFFF"/>
        <w:spacing w:before="0" w:after="0"/>
        <w:rPr>
          <w:b w:val="0"/>
          <w:bCs w:val="0"/>
        </w:rPr>
      </w:pPr>
      <w:r w:rsidRPr="007C0F42">
        <w:rPr>
          <w:rStyle w:val="FootnoteReference"/>
          <w:rFonts w:asciiTheme="minorBidi" w:hAnsiTheme="minorBidi" w:cstheme="minorBidi"/>
          <w:b w:val="0"/>
          <w:bCs w:val="0"/>
          <w:color w:val="auto"/>
          <w:sz w:val="16"/>
          <w:szCs w:val="16"/>
        </w:rPr>
        <w:footnoteRef/>
      </w:r>
      <w:r w:rsidRPr="007C0F42">
        <w:rPr>
          <w:rFonts w:asciiTheme="minorBidi" w:hAnsiTheme="minorBidi" w:cstheme="minorBidi"/>
          <w:b w:val="0"/>
          <w:bCs w:val="0"/>
          <w:color w:val="auto"/>
          <w:sz w:val="16"/>
          <w:szCs w:val="16"/>
        </w:rPr>
        <w:t xml:space="preserve"> K Richards, </w:t>
      </w:r>
      <w:r w:rsidRPr="007C0F42">
        <w:rPr>
          <w:rFonts w:asciiTheme="minorBidi" w:hAnsiTheme="minorBidi" w:cstheme="minorBidi"/>
          <w:b w:val="0"/>
          <w:bCs w:val="0"/>
          <w:i/>
          <w:iCs/>
          <w:color w:val="auto"/>
          <w:sz w:val="16"/>
          <w:szCs w:val="16"/>
        </w:rPr>
        <w:t>What makes juvenile offenders different from adult offenders?</w:t>
      </w:r>
      <w:r w:rsidRPr="007C0F42">
        <w:rPr>
          <w:rFonts w:asciiTheme="minorBidi" w:hAnsiTheme="minorBidi" w:cstheme="minorBidi"/>
          <w:b w:val="0"/>
          <w:bCs w:val="0"/>
          <w:color w:val="auto"/>
          <w:sz w:val="16"/>
          <w:szCs w:val="16"/>
        </w:rPr>
        <w:t xml:space="preserve">, Trends &amp; Issues in Crime and Criminal Justice no. 409, </w:t>
      </w:r>
      <w:r w:rsidRPr="007C0F42">
        <w:rPr>
          <w:rFonts w:asciiTheme="minorBidi" w:hAnsiTheme="minorBidi" w:cstheme="minorBidi"/>
          <w:b w:val="0"/>
          <w:bCs w:val="0"/>
          <w:color w:val="auto"/>
          <w:sz w:val="16"/>
          <w:szCs w:val="16"/>
          <w:shd w:val="clear" w:color="auto" w:fill="FFFFFF"/>
        </w:rPr>
        <w:t>Australian Institute of Criminology, February 2011.</w:t>
      </w:r>
    </w:p>
  </w:footnote>
  <w:footnote w:id="63">
    <w:p w14:paraId="65E1B345" w14:textId="77777777" w:rsidR="00D02193" w:rsidRPr="007C0F42" w:rsidRDefault="00D02193" w:rsidP="007C0F42">
      <w:pPr>
        <w:pStyle w:val="Heading2"/>
        <w:shd w:val="clear" w:color="auto" w:fill="FFFFFF"/>
        <w:spacing w:before="0" w:after="0"/>
        <w:rPr>
          <w:sz w:val="16"/>
          <w:szCs w:val="16"/>
        </w:rPr>
      </w:pPr>
      <w:r w:rsidRPr="007C0F42">
        <w:rPr>
          <w:rStyle w:val="FootnoteReference"/>
          <w:rFonts w:asciiTheme="minorBidi" w:hAnsiTheme="minorBidi" w:cstheme="minorBidi"/>
          <w:b w:val="0"/>
          <w:bCs w:val="0"/>
          <w:color w:val="auto"/>
          <w:sz w:val="16"/>
          <w:szCs w:val="16"/>
        </w:rPr>
        <w:footnoteRef/>
      </w:r>
      <w:r w:rsidRPr="007C0F42">
        <w:rPr>
          <w:rFonts w:asciiTheme="minorBidi" w:hAnsiTheme="minorBidi" w:cstheme="minorBidi"/>
          <w:b w:val="0"/>
          <w:bCs w:val="0"/>
          <w:color w:val="auto"/>
          <w:sz w:val="16"/>
          <w:szCs w:val="16"/>
        </w:rPr>
        <w:t xml:space="preserve"> K Richards, </w:t>
      </w:r>
      <w:r w:rsidRPr="007C0F42">
        <w:rPr>
          <w:rFonts w:asciiTheme="minorBidi" w:hAnsiTheme="minorBidi" w:cstheme="minorBidi"/>
          <w:b w:val="0"/>
          <w:bCs w:val="0"/>
          <w:i/>
          <w:iCs/>
          <w:color w:val="auto"/>
          <w:sz w:val="16"/>
          <w:szCs w:val="16"/>
        </w:rPr>
        <w:t>What makes juvenile offenders different from adult offenders?</w:t>
      </w:r>
      <w:r w:rsidRPr="007C0F42">
        <w:rPr>
          <w:rFonts w:asciiTheme="minorBidi" w:hAnsiTheme="minorBidi" w:cstheme="minorBidi"/>
          <w:b w:val="0"/>
          <w:bCs w:val="0"/>
          <w:color w:val="auto"/>
          <w:sz w:val="16"/>
          <w:szCs w:val="16"/>
        </w:rPr>
        <w:t xml:space="preserve">, Trends &amp; Issues in Crime and Criminal Justice no. 409, </w:t>
      </w:r>
      <w:r w:rsidRPr="007C0F42">
        <w:rPr>
          <w:rFonts w:asciiTheme="minorBidi" w:hAnsiTheme="minorBidi" w:cstheme="minorBidi"/>
          <w:b w:val="0"/>
          <w:bCs w:val="0"/>
          <w:color w:val="auto"/>
          <w:sz w:val="16"/>
          <w:szCs w:val="16"/>
          <w:shd w:val="clear" w:color="auto" w:fill="FFFFFF"/>
        </w:rPr>
        <w:t>Australian Institute of Criminology, February 2011.</w:t>
      </w:r>
    </w:p>
  </w:footnote>
  <w:footnote w:id="64">
    <w:p w14:paraId="4ADC2FC3" w14:textId="77777777" w:rsidR="00D02193" w:rsidRPr="007C0F42" w:rsidRDefault="00D02193" w:rsidP="007C0F42">
      <w:pPr>
        <w:spacing w:before="0" w:after="0" w:line="240" w:lineRule="auto"/>
        <w:rPr>
          <w:sz w:val="16"/>
          <w:szCs w:val="16"/>
        </w:rPr>
      </w:pPr>
      <w:r w:rsidRPr="007C0F42">
        <w:rPr>
          <w:rStyle w:val="FootnoteReference"/>
          <w:sz w:val="16"/>
          <w:szCs w:val="16"/>
        </w:rPr>
        <w:footnoteRef/>
      </w:r>
      <w:r w:rsidRPr="007C0F42">
        <w:rPr>
          <w:sz w:val="16"/>
          <w:szCs w:val="16"/>
        </w:rPr>
        <w:t xml:space="preserve"> Victorian Ombudsman, </w:t>
      </w:r>
      <w:r w:rsidRPr="007C0F42">
        <w:rPr>
          <w:i/>
          <w:sz w:val="16"/>
          <w:szCs w:val="16"/>
        </w:rPr>
        <w:t>Report on youth justice facilities at the Grevillea unit of Barwon Prison, Malmsbury and Parkville</w:t>
      </w:r>
      <w:r w:rsidRPr="007C0F42">
        <w:rPr>
          <w:sz w:val="16"/>
          <w:szCs w:val="16"/>
        </w:rPr>
        <w:t>, February 2017, p. 3.</w:t>
      </w:r>
    </w:p>
  </w:footnote>
  <w:footnote w:id="65">
    <w:p w14:paraId="76864D23" w14:textId="508A34B6" w:rsidR="00D02193" w:rsidRDefault="00D02193">
      <w:pPr>
        <w:pStyle w:val="FootnoteText"/>
      </w:pPr>
      <w:r>
        <w:rPr>
          <w:rStyle w:val="FootnoteReference"/>
        </w:rPr>
        <w:footnoteRef/>
      </w:r>
      <w:r>
        <w:t xml:space="preserve"> </w:t>
      </w:r>
      <w:r w:rsidRPr="00014AEF">
        <w:t>Sentencing Act 1991</w:t>
      </w:r>
      <w:r>
        <w:t>,</w:t>
      </w:r>
      <w:r w:rsidRPr="00014AEF">
        <w:t xml:space="preserve"> Sect</w:t>
      </w:r>
      <w:r>
        <w:t>ion</w:t>
      </w:r>
      <w:r w:rsidRPr="00014AEF">
        <w:t xml:space="preserve"> 32</w:t>
      </w:r>
    </w:p>
  </w:footnote>
  <w:footnote w:id="66">
    <w:p w14:paraId="78620133" w14:textId="77777777" w:rsidR="00D02193" w:rsidRPr="007C0F42" w:rsidRDefault="00D02193" w:rsidP="007C0F42">
      <w:pPr>
        <w:spacing w:before="0" w:after="0" w:line="240" w:lineRule="auto"/>
        <w:rPr>
          <w:sz w:val="16"/>
          <w:szCs w:val="16"/>
        </w:rPr>
      </w:pPr>
      <w:r w:rsidRPr="007C0F42">
        <w:rPr>
          <w:rStyle w:val="FootnoteReference"/>
          <w:sz w:val="16"/>
          <w:szCs w:val="16"/>
        </w:rPr>
        <w:footnoteRef/>
      </w:r>
      <w:r w:rsidRPr="007C0F42">
        <w:rPr>
          <w:sz w:val="16"/>
          <w:szCs w:val="16"/>
        </w:rPr>
        <w:t xml:space="preserve"> Victorian Ombudsman, </w:t>
      </w:r>
      <w:r w:rsidRPr="007C0F42">
        <w:rPr>
          <w:i/>
          <w:sz w:val="16"/>
          <w:szCs w:val="16"/>
        </w:rPr>
        <w:t>Report on youth justice facilities at the Grevillea unit of Barwon Prison, Malmsbury and Parkville</w:t>
      </w:r>
      <w:r w:rsidRPr="007C0F42">
        <w:rPr>
          <w:sz w:val="16"/>
          <w:szCs w:val="16"/>
        </w:rPr>
        <w:t>, February 2017, p. 3.</w:t>
      </w:r>
    </w:p>
  </w:footnote>
  <w:footnote w:id="67">
    <w:p w14:paraId="15E53A47" w14:textId="77777777" w:rsidR="00D02193" w:rsidRPr="007C0F42" w:rsidRDefault="00D02193" w:rsidP="007C0F42">
      <w:pPr>
        <w:pStyle w:val="FootnoteText"/>
        <w:rPr>
          <w:szCs w:val="16"/>
        </w:rPr>
      </w:pPr>
      <w:r w:rsidRPr="007C0F42">
        <w:rPr>
          <w:rStyle w:val="FootnoteReference"/>
          <w:szCs w:val="16"/>
        </w:rPr>
        <w:footnoteRef/>
      </w:r>
      <w:r w:rsidRPr="007C0F42">
        <w:rPr>
          <w:szCs w:val="16"/>
        </w:rPr>
        <w:t xml:space="preserve"> The Royal Society, </w:t>
      </w:r>
      <w:hyperlink r:id="rId11" w:history="1">
        <w:r w:rsidRPr="007C0F42">
          <w:rPr>
            <w:rStyle w:val="Hyperlink"/>
            <w:i/>
            <w:iCs/>
            <w:sz w:val="16"/>
            <w:szCs w:val="16"/>
          </w:rPr>
          <w:t>Brain Waves Module 4: Neuroscience and the law</w:t>
        </w:r>
      </w:hyperlink>
      <w:r w:rsidRPr="007C0F42">
        <w:rPr>
          <w:szCs w:val="16"/>
        </w:rPr>
        <w:t>, The Royal Society, December 2011.</w:t>
      </w:r>
    </w:p>
  </w:footnote>
  <w:footnote w:id="68">
    <w:p w14:paraId="72B1F8D3" w14:textId="77777777" w:rsidR="00D02193" w:rsidRDefault="00D02193" w:rsidP="008F1628">
      <w:pPr>
        <w:pStyle w:val="FootnoteText"/>
      </w:pPr>
      <w:r>
        <w:rPr>
          <w:rStyle w:val="FootnoteReference"/>
        </w:rPr>
        <w:footnoteRef/>
      </w:r>
      <w:r>
        <w:t xml:space="preserve"> </w:t>
      </w:r>
      <w:r w:rsidRPr="008F1628">
        <w:t xml:space="preserve">UN Committee on the Rights of the Child (CRC), </w:t>
      </w:r>
      <w:r w:rsidRPr="008F1628">
        <w:rPr>
          <w:i/>
        </w:rPr>
        <w:t>General comment No. 10 (2007): Children's Rights in Juvenile Justice</w:t>
      </w:r>
      <w:r w:rsidRPr="008F1628">
        <w:t>, 25 April 2007, CRC/C/GC/10</w:t>
      </w:r>
      <w:r>
        <w:t>.</w:t>
      </w:r>
    </w:p>
  </w:footnote>
  <w:footnote w:id="69">
    <w:p w14:paraId="4A92A30E" w14:textId="77777777" w:rsidR="00D02193" w:rsidRDefault="00D02193" w:rsidP="008F1628">
      <w:pPr>
        <w:pStyle w:val="FootnoteText"/>
      </w:pPr>
      <w:r>
        <w:rPr>
          <w:rStyle w:val="FootnoteReference"/>
        </w:rPr>
        <w:footnoteRef/>
      </w:r>
      <w:r>
        <w:t xml:space="preserve"> </w:t>
      </w:r>
      <w:r w:rsidRPr="008F1628">
        <w:t xml:space="preserve">UN Committee on the Rights of the Child (CRC), </w:t>
      </w:r>
      <w:r w:rsidRPr="008F1628">
        <w:rPr>
          <w:i/>
        </w:rPr>
        <w:t>General comment No. 10 (2007): Children's Rights in Juvenile Justice</w:t>
      </w:r>
      <w:r w:rsidRPr="008F1628">
        <w:t>, 25 April 2007, CRC/C/GC/10</w:t>
      </w:r>
      <w:r>
        <w:t>.</w:t>
      </w:r>
    </w:p>
  </w:footnote>
  <w:footnote w:id="70">
    <w:p w14:paraId="7D35C0F5" w14:textId="53A2DF71" w:rsidR="00D02193" w:rsidRPr="005E2EF9" w:rsidRDefault="00D02193" w:rsidP="005E2EF9">
      <w:pPr>
        <w:spacing w:before="0" w:after="0" w:line="240" w:lineRule="auto"/>
        <w:rPr>
          <w:sz w:val="16"/>
          <w:szCs w:val="16"/>
        </w:rPr>
      </w:pPr>
      <w:r w:rsidRPr="005E2EF9">
        <w:rPr>
          <w:rStyle w:val="FootnoteReference"/>
          <w:sz w:val="16"/>
          <w:szCs w:val="16"/>
        </w:rPr>
        <w:footnoteRef/>
      </w:r>
      <w:r w:rsidRPr="005E2EF9">
        <w:rPr>
          <w:sz w:val="16"/>
          <w:szCs w:val="16"/>
        </w:rPr>
        <w:t xml:space="preserve"> </w:t>
      </w:r>
      <w:r>
        <w:rPr>
          <w:sz w:val="16"/>
          <w:szCs w:val="16"/>
        </w:rPr>
        <w:t xml:space="preserve">N </w:t>
      </w:r>
      <w:r w:rsidRPr="005E2EF9">
        <w:rPr>
          <w:sz w:val="16"/>
          <w:szCs w:val="16"/>
        </w:rPr>
        <w:t xml:space="preserve">Hazel, </w:t>
      </w:r>
      <w:r w:rsidRPr="008F1628">
        <w:rPr>
          <w:i/>
          <w:sz w:val="16"/>
          <w:szCs w:val="16"/>
        </w:rPr>
        <w:t>Cross-national comparison of youth justice</w:t>
      </w:r>
      <w:r w:rsidRPr="005E2EF9">
        <w:rPr>
          <w:sz w:val="16"/>
          <w:szCs w:val="16"/>
        </w:rPr>
        <w:t>, Youth Justice Board for England and Wales, United Kingdom</w:t>
      </w:r>
      <w:r>
        <w:rPr>
          <w:sz w:val="16"/>
          <w:szCs w:val="16"/>
        </w:rPr>
        <w:t xml:space="preserve">, </w:t>
      </w:r>
      <w:r w:rsidRPr="005E2EF9">
        <w:rPr>
          <w:sz w:val="16"/>
          <w:szCs w:val="16"/>
        </w:rPr>
        <w:t>2008</w:t>
      </w:r>
      <w:r>
        <w:rPr>
          <w:sz w:val="16"/>
          <w:szCs w:val="16"/>
        </w:rPr>
        <w:t>.</w:t>
      </w:r>
      <w:r w:rsidRPr="005E2EF9">
        <w:rPr>
          <w:sz w:val="16"/>
          <w:szCs w:val="16"/>
        </w:rPr>
        <w:t xml:space="preserve"> </w:t>
      </w:r>
    </w:p>
  </w:footnote>
  <w:footnote w:id="71">
    <w:p w14:paraId="17EC447D" w14:textId="2CE3E81A" w:rsidR="00D02193" w:rsidRPr="005E2EF9" w:rsidRDefault="00D02193" w:rsidP="005E2EF9">
      <w:pPr>
        <w:spacing w:before="0" w:after="0" w:line="240" w:lineRule="auto"/>
        <w:rPr>
          <w:sz w:val="16"/>
          <w:szCs w:val="16"/>
        </w:rPr>
      </w:pPr>
      <w:r w:rsidRPr="005E2EF9">
        <w:rPr>
          <w:rStyle w:val="FootnoteReference"/>
          <w:sz w:val="16"/>
          <w:szCs w:val="16"/>
        </w:rPr>
        <w:footnoteRef/>
      </w:r>
      <w:r w:rsidRPr="005E2EF9">
        <w:rPr>
          <w:sz w:val="16"/>
          <w:szCs w:val="16"/>
        </w:rPr>
        <w:t xml:space="preserve"> Australian Institute of Health and Welfare 2013, </w:t>
      </w:r>
      <w:r w:rsidRPr="005E2EF9">
        <w:rPr>
          <w:i/>
          <w:sz w:val="16"/>
          <w:szCs w:val="16"/>
        </w:rPr>
        <w:t xml:space="preserve">Young people aged 10 – 14 in the youth justice system 2011 – 2012, </w:t>
      </w:r>
      <w:r w:rsidRPr="005E2EF9">
        <w:rPr>
          <w:sz w:val="16"/>
          <w:szCs w:val="16"/>
        </w:rPr>
        <w:t xml:space="preserve">AIHW, Canberra, p. </w:t>
      </w:r>
      <w:proofErr w:type="gramStart"/>
      <w:r w:rsidRPr="005E2EF9">
        <w:rPr>
          <w:sz w:val="16"/>
          <w:szCs w:val="16"/>
        </w:rPr>
        <w:t>vi</w:t>
      </w:r>
      <w:proofErr w:type="gramEnd"/>
      <w:r w:rsidRPr="005E2EF9">
        <w:rPr>
          <w:sz w:val="16"/>
          <w:szCs w:val="16"/>
        </w:rPr>
        <w:t>.</w:t>
      </w:r>
      <w:r w:rsidRPr="005E2EF9">
        <w:rPr>
          <w:rStyle w:val="Hyperlink"/>
          <w:sz w:val="16"/>
          <w:szCs w:val="16"/>
        </w:rPr>
        <w:t xml:space="preserve"> </w:t>
      </w:r>
    </w:p>
  </w:footnote>
  <w:footnote w:id="72">
    <w:p w14:paraId="5E0C2CB3" w14:textId="77777777" w:rsidR="00D02193" w:rsidRPr="005E2EF9" w:rsidRDefault="00D02193" w:rsidP="005E2EF9">
      <w:pPr>
        <w:spacing w:before="0" w:after="0" w:line="240" w:lineRule="auto"/>
        <w:rPr>
          <w:sz w:val="16"/>
          <w:szCs w:val="16"/>
        </w:rPr>
      </w:pPr>
      <w:r w:rsidRPr="005E2EF9">
        <w:rPr>
          <w:rStyle w:val="FootnoteReference"/>
          <w:sz w:val="16"/>
          <w:szCs w:val="16"/>
        </w:rPr>
        <w:footnoteRef/>
      </w:r>
      <w:r w:rsidRPr="005E2EF9">
        <w:rPr>
          <w:sz w:val="16"/>
          <w:szCs w:val="16"/>
        </w:rPr>
        <w:t xml:space="preserve"> Sentencing Advisory Council, </w:t>
      </w:r>
      <w:hyperlink r:id="rId12" w:history="1">
        <w:r w:rsidRPr="005E2EF9">
          <w:rPr>
            <w:rStyle w:val="Hyperlink"/>
            <w:i/>
            <w:iCs/>
            <w:sz w:val="16"/>
            <w:szCs w:val="16"/>
          </w:rPr>
          <w:t>Reoffending by Children and Young People in Victoria</w:t>
        </w:r>
      </w:hyperlink>
      <w:r w:rsidRPr="005E2EF9">
        <w:rPr>
          <w:sz w:val="16"/>
          <w:szCs w:val="16"/>
        </w:rPr>
        <w:t>, December 2016, p. 26</w:t>
      </w:r>
    </w:p>
  </w:footnote>
  <w:footnote w:id="73">
    <w:p w14:paraId="0782B7C9" w14:textId="6F04C5C5" w:rsidR="00D02193" w:rsidRPr="005E2EF9" w:rsidRDefault="00D02193" w:rsidP="005E2EF9">
      <w:pPr>
        <w:spacing w:before="0" w:after="0" w:line="240" w:lineRule="auto"/>
        <w:rPr>
          <w:sz w:val="16"/>
          <w:szCs w:val="16"/>
        </w:rPr>
      </w:pPr>
      <w:r w:rsidRPr="005E2EF9">
        <w:rPr>
          <w:rStyle w:val="FootnoteReference"/>
          <w:sz w:val="16"/>
          <w:szCs w:val="16"/>
        </w:rPr>
        <w:footnoteRef/>
      </w:r>
      <w:r w:rsidRPr="005E2EF9">
        <w:rPr>
          <w:sz w:val="16"/>
          <w:szCs w:val="16"/>
        </w:rPr>
        <w:t xml:space="preserve"> Sentencing Advisory Council, </w:t>
      </w:r>
      <w:hyperlink r:id="rId13" w:history="1">
        <w:r w:rsidRPr="005E2EF9">
          <w:rPr>
            <w:rStyle w:val="Hyperlink"/>
            <w:i/>
            <w:iCs/>
            <w:sz w:val="16"/>
            <w:szCs w:val="16"/>
          </w:rPr>
          <w:t>Reoffending by Children and Young People in Victoria</w:t>
        </w:r>
      </w:hyperlink>
      <w:r w:rsidRPr="005E2EF9">
        <w:rPr>
          <w:sz w:val="16"/>
          <w:szCs w:val="16"/>
        </w:rPr>
        <w:t>, December 2016, p. 20.</w:t>
      </w:r>
    </w:p>
  </w:footnote>
  <w:footnote w:id="74">
    <w:p w14:paraId="5E780319" w14:textId="77777777" w:rsidR="00D02193" w:rsidRDefault="00D02193" w:rsidP="00604C9D">
      <w:pPr>
        <w:pStyle w:val="FootnoteText"/>
      </w:pPr>
      <w:r>
        <w:rPr>
          <w:rStyle w:val="FootnoteReference"/>
        </w:rPr>
        <w:footnoteRef/>
      </w:r>
      <w:r>
        <w:t xml:space="preserve"> </w:t>
      </w:r>
      <w:r w:rsidRPr="008F1628">
        <w:t xml:space="preserve">UN Committee on the Rights of the Child (CRC), </w:t>
      </w:r>
      <w:r w:rsidRPr="008F1628">
        <w:rPr>
          <w:i/>
        </w:rPr>
        <w:t>General comment No. 10 (2007): Children's Rights in Juvenile Justice</w:t>
      </w:r>
      <w:r w:rsidRPr="008F1628">
        <w:t>, 25 April 2007, CRC/C/GC/10</w:t>
      </w:r>
      <w:r>
        <w:t>.</w:t>
      </w:r>
    </w:p>
  </w:footnote>
  <w:footnote w:id="75">
    <w:p w14:paraId="7AB2C357" w14:textId="77777777" w:rsidR="00D02193" w:rsidRDefault="00D02193" w:rsidP="00AB06BA">
      <w:pPr>
        <w:pStyle w:val="FootnoteText"/>
      </w:pPr>
      <w:r>
        <w:rPr>
          <w:rStyle w:val="FootnoteReference"/>
        </w:rPr>
        <w:footnoteRef/>
      </w:r>
      <w:r>
        <w:t xml:space="preserve"> Australian Human Rights Commission, </w:t>
      </w:r>
      <w:r w:rsidRPr="00D109ED">
        <w:rPr>
          <w:i/>
          <w:iCs/>
        </w:rPr>
        <w:t>Children’s rights report 2016</w:t>
      </w:r>
      <w:r>
        <w:t>, National Children’s Commissioner, Australian Human Rights Commission 2016, p.81</w:t>
      </w:r>
    </w:p>
  </w:footnote>
  <w:footnote w:id="76">
    <w:p w14:paraId="5AD87B5C" w14:textId="3C6BC124" w:rsidR="00D02193" w:rsidRDefault="00D02193">
      <w:pPr>
        <w:pStyle w:val="FootnoteText"/>
      </w:pPr>
      <w:r>
        <w:rPr>
          <w:rStyle w:val="FootnoteReference"/>
        </w:rPr>
        <w:footnoteRef/>
      </w:r>
      <w:r>
        <w:t xml:space="preserve"> B Geary, ‘Hearing the voices of young people’, </w:t>
      </w:r>
      <w:r w:rsidRPr="001213E5">
        <w:rPr>
          <w:i/>
        </w:rPr>
        <w:t>Insight 8: Crime and Justice</w:t>
      </w:r>
      <w:r>
        <w:t xml:space="preserve">, VCOSS, 2013.  </w:t>
      </w:r>
    </w:p>
  </w:footnote>
  <w:footnote w:id="77">
    <w:p w14:paraId="0AC1D80B" w14:textId="77777777" w:rsidR="00D02193" w:rsidRDefault="00D02193" w:rsidP="00AB06BA">
      <w:pPr>
        <w:pStyle w:val="FootnoteText"/>
      </w:pPr>
      <w:r>
        <w:rPr>
          <w:rStyle w:val="FootnoteReference"/>
        </w:rPr>
        <w:footnoteRef/>
      </w:r>
      <w:r>
        <w:t xml:space="preserve"> Jesuit Social Services, Submission to the Commission for Children and Young People’s Inquiry into the use of isolation, separation and lockdowns in youth justice centres, November 2016.</w:t>
      </w:r>
    </w:p>
  </w:footnote>
  <w:footnote w:id="78">
    <w:p w14:paraId="24E8F7AF" w14:textId="77777777" w:rsidR="00D02193" w:rsidRDefault="00D02193" w:rsidP="0060107D">
      <w:pPr>
        <w:pStyle w:val="FootnoteText"/>
      </w:pPr>
      <w:r>
        <w:rPr>
          <w:rStyle w:val="FootnoteReference"/>
        </w:rPr>
        <w:footnoteRef/>
      </w:r>
      <w:r>
        <w:t xml:space="preserve"> Youth Affairs Council of Victoria, </w:t>
      </w:r>
      <w:r w:rsidRPr="007F77F3">
        <w:rPr>
          <w:i/>
        </w:rPr>
        <w:t>Inquiry into Youth Justice Centres in Victoria, A submission to the inquiry by the Standing Committee on Legal and Social Issues, Parliament of Victoria</w:t>
      </w:r>
      <w:r>
        <w:t>, March 2017.</w:t>
      </w:r>
    </w:p>
  </w:footnote>
  <w:footnote w:id="79">
    <w:p w14:paraId="0D9DB06C" w14:textId="77777777" w:rsidR="00D02193" w:rsidRDefault="00D02193" w:rsidP="004E2C9E">
      <w:pPr>
        <w:pStyle w:val="FootnoteText"/>
      </w:pPr>
      <w:r>
        <w:rPr>
          <w:rStyle w:val="FootnoteReference"/>
        </w:rPr>
        <w:footnoteRef/>
      </w:r>
      <w:r>
        <w:t xml:space="preserve"> Noetic Solutions Pty Limited, </w:t>
      </w:r>
      <w:r w:rsidRPr="008F1628">
        <w:rPr>
          <w:i/>
        </w:rPr>
        <w:t>Review of Effective Practice in Juvenile Justice</w:t>
      </w:r>
      <w:r>
        <w:t xml:space="preserve">, Report for the Minister for Juvenile Justice, January 2010. </w:t>
      </w:r>
    </w:p>
  </w:footnote>
  <w:footnote w:id="80">
    <w:p w14:paraId="7585C957" w14:textId="77777777" w:rsidR="00D02193" w:rsidRDefault="00D02193" w:rsidP="004E2C9E">
      <w:pPr>
        <w:pStyle w:val="FootnoteText"/>
      </w:pPr>
      <w:r>
        <w:rPr>
          <w:rStyle w:val="FootnoteReference"/>
        </w:rPr>
        <w:footnoteRef/>
      </w:r>
      <w:r>
        <w:t xml:space="preserve"> K Richards, L </w:t>
      </w:r>
      <w:proofErr w:type="spellStart"/>
      <w:r>
        <w:t>Rosevear</w:t>
      </w:r>
      <w:proofErr w:type="spellEnd"/>
      <w:r>
        <w:t xml:space="preserve"> and R Gilbert</w:t>
      </w:r>
      <w:r w:rsidRPr="000D12A3">
        <w:rPr>
          <w:i/>
          <w:iCs/>
        </w:rPr>
        <w:t>, Promising interventions for reducing indigenous juvenile offending</w:t>
      </w:r>
      <w:r>
        <w:rPr>
          <w:i/>
          <w:iCs/>
        </w:rPr>
        <w:t>:</w:t>
      </w:r>
      <w:r w:rsidRPr="000D12A3">
        <w:rPr>
          <w:i/>
          <w:iCs/>
        </w:rPr>
        <w:t xml:space="preserve"> Brief 1</w:t>
      </w:r>
      <w:r>
        <w:t>, Australian Institute of Criminology, March 2011.</w:t>
      </w:r>
    </w:p>
  </w:footnote>
  <w:footnote w:id="81">
    <w:p w14:paraId="370ED798" w14:textId="77777777" w:rsidR="00D02193" w:rsidRDefault="00D02193" w:rsidP="004E2C9E">
      <w:pPr>
        <w:pStyle w:val="FootnoteText"/>
      </w:pPr>
      <w:r>
        <w:rPr>
          <w:rStyle w:val="FootnoteReference"/>
        </w:rPr>
        <w:footnoteRef/>
      </w:r>
      <w:r>
        <w:t xml:space="preserve"> K Richards, L </w:t>
      </w:r>
      <w:proofErr w:type="spellStart"/>
      <w:r>
        <w:t>Rosevear</w:t>
      </w:r>
      <w:proofErr w:type="spellEnd"/>
      <w:r>
        <w:t xml:space="preserve"> and R Gilbert</w:t>
      </w:r>
      <w:r w:rsidRPr="000D12A3">
        <w:rPr>
          <w:i/>
          <w:iCs/>
        </w:rPr>
        <w:t>, Promising interventions for reducing indigenous juvenile offending</w:t>
      </w:r>
      <w:r>
        <w:rPr>
          <w:i/>
          <w:iCs/>
        </w:rPr>
        <w:t>:</w:t>
      </w:r>
      <w:r w:rsidRPr="000D12A3">
        <w:rPr>
          <w:i/>
          <w:iCs/>
        </w:rPr>
        <w:t xml:space="preserve"> Brief 1</w:t>
      </w:r>
      <w:r>
        <w:t>, Australian Institute of Criminology, March 2011.</w:t>
      </w:r>
    </w:p>
  </w:footnote>
  <w:footnote w:id="82">
    <w:p w14:paraId="4F71AA60" w14:textId="77777777" w:rsidR="00D02193" w:rsidRDefault="00D02193" w:rsidP="004E2C9E">
      <w:pPr>
        <w:pStyle w:val="FootnoteText"/>
      </w:pPr>
      <w:r>
        <w:rPr>
          <w:rStyle w:val="FootnoteReference"/>
        </w:rPr>
        <w:footnoteRef/>
      </w:r>
      <w:r>
        <w:t xml:space="preserve"> K Richards, L </w:t>
      </w:r>
      <w:proofErr w:type="spellStart"/>
      <w:r>
        <w:t>Rosevear</w:t>
      </w:r>
      <w:proofErr w:type="spellEnd"/>
      <w:r>
        <w:t xml:space="preserve"> and R Gilbert</w:t>
      </w:r>
      <w:r w:rsidRPr="000D12A3">
        <w:rPr>
          <w:i/>
          <w:iCs/>
        </w:rPr>
        <w:t>, Promising interventions for reducing indigenous juvenile offending</w:t>
      </w:r>
      <w:r>
        <w:rPr>
          <w:i/>
          <w:iCs/>
        </w:rPr>
        <w:t>:</w:t>
      </w:r>
      <w:r w:rsidRPr="000D12A3">
        <w:rPr>
          <w:i/>
          <w:iCs/>
        </w:rPr>
        <w:t xml:space="preserve"> Brief 1</w:t>
      </w:r>
      <w:r>
        <w:t>, Australian Institute of Criminology, March 2011.</w:t>
      </w:r>
    </w:p>
  </w:footnote>
  <w:footnote w:id="83">
    <w:p w14:paraId="4E2B5C5F" w14:textId="5C5B6FDC" w:rsidR="00D02193" w:rsidRDefault="00D02193" w:rsidP="00654A97">
      <w:pPr>
        <w:pStyle w:val="FootnoteText"/>
      </w:pPr>
      <w:r>
        <w:rPr>
          <w:rStyle w:val="FootnoteReference"/>
        </w:rPr>
        <w:footnoteRef/>
      </w:r>
      <w:r>
        <w:t xml:space="preserve"> </w:t>
      </w:r>
      <w:r w:rsidRPr="00D24FC3">
        <w:t xml:space="preserve">Sentencing Advisory Council, </w:t>
      </w:r>
      <w:r w:rsidRPr="008F1628">
        <w:rPr>
          <w:i/>
        </w:rPr>
        <w:t>Reoffending by Children and Young People in Victoria</w:t>
      </w:r>
      <w:r w:rsidRPr="00D24FC3">
        <w:t>, Sentencing Advisory Council, Melbourne, December 2016.</w:t>
      </w:r>
    </w:p>
  </w:footnote>
  <w:footnote w:id="84">
    <w:p w14:paraId="708394EE" w14:textId="77777777" w:rsidR="00D02193" w:rsidRDefault="00D02193" w:rsidP="00654A97">
      <w:pPr>
        <w:pStyle w:val="FootnoteText"/>
      </w:pPr>
      <w:r>
        <w:rPr>
          <w:rStyle w:val="FootnoteReference"/>
        </w:rPr>
        <w:footnoteRef/>
      </w:r>
      <w:r>
        <w:t xml:space="preserve"> Noetic Solutions Pty Limited, </w:t>
      </w:r>
      <w:r w:rsidRPr="008F1628">
        <w:rPr>
          <w:i/>
        </w:rPr>
        <w:t>Review of Effective Practice in Juvenile Justice</w:t>
      </w:r>
      <w:r>
        <w:t xml:space="preserve">, Report for the Minister for Juvenile Justice, January 2010. </w:t>
      </w:r>
    </w:p>
  </w:footnote>
  <w:footnote w:id="85">
    <w:p w14:paraId="6919A7FF" w14:textId="77777777" w:rsidR="00D02193" w:rsidRDefault="00D02193" w:rsidP="00361DEF">
      <w:pPr>
        <w:pStyle w:val="FootnoteText"/>
      </w:pPr>
      <w:r>
        <w:rPr>
          <w:rStyle w:val="FootnoteReference"/>
        </w:rPr>
        <w:footnoteRef/>
      </w:r>
      <w:r>
        <w:t xml:space="preserve"> K Richards, L </w:t>
      </w:r>
      <w:proofErr w:type="spellStart"/>
      <w:r>
        <w:t>Rosevear</w:t>
      </w:r>
      <w:proofErr w:type="spellEnd"/>
      <w:r>
        <w:t xml:space="preserve"> and R Gilbert</w:t>
      </w:r>
      <w:r w:rsidRPr="000D12A3">
        <w:rPr>
          <w:i/>
          <w:iCs/>
        </w:rPr>
        <w:t>, Promising interventions for reducing indigenous juvenile offending</w:t>
      </w:r>
      <w:r>
        <w:rPr>
          <w:i/>
          <w:iCs/>
        </w:rPr>
        <w:t>:</w:t>
      </w:r>
      <w:r w:rsidRPr="000D12A3">
        <w:rPr>
          <w:i/>
          <w:iCs/>
        </w:rPr>
        <w:t xml:space="preserve"> Brief 1</w:t>
      </w:r>
      <w:r>
        <w:t>, Australian Institute of Criminology, March 2011.</w:t>
      </w:r>
    </w:p>
  </w:footnote>
  <w:footnote w:id="86">
    <w:p w14:paraId="3E4E8E7B" w14:textId="27A91B17" w:rsidR="00D02193" w:rsidRDefault="00D02193" w:rsidP="00BA23A8">
      <w:pPr>
        <w:pStyle w:val="FootnoteText"/>
      </w:pPr>
      <w:r>
        <w:rPr>
          <w:rStyle w:val="FootnoteReference"/>
        </w:rPr>
        <w:footnoteRef/>
      </w:r>
      <w:r>
        <w:t xml:space="preserve"> </w:t>
      </w:r>
      <w:r w:rsidRPr="008F1628">
        <w:rPr>
          <w:szCs w:val="16"/>
        </w:rPr>
        <w:t xml:space="preserve">C Gong, J McNamara and R Cassells, </w:t>
      </w:r>
      <w:r w:rsidRPr="008F1628">
        <w:rPr>
          <w:i/>
          <w:szCs w:val="16"/>
        </w:rPr>
        <w:t>AMP.NATSEM Income and Wealth Report: Issue 28 - Little Australians: Differences in early childhood development</w:t>
      </w:r>
      <w:r w:rsidRPr="008F1628">
        <w:rPr>
          <w:szCs w:val="16"/>
        </w:rPr>
        <w:t>, Sydney, AMP.NATSEM, April 2011</w:t>
      </w:r>
    </w:p>
  </w:footnote>
  <w:footnote w:id="87">
    <w:p w14:paraId="66BCDD66" w14:textId="77777777" w:rsidR="00D02193" w:rsidRDefault="00D02193" w:rsidP="00BA23A8">
      <w:pPr>
        <w:pStyle w:val="FootnoteText"/>
      </w:pPr>
      <w:r>
        <w:rPr>
          <w:rStyle w:val="FootnoteReference"/>
        </w:rPr>
        <w:footnoteRef/>
      </w:r>
      <w:r>
        <w:t xml:space="preserve"> M McDonald, T Moore and R Robinson, </w:t>
      </w:r>
      <w:r w:rsidRPr="005828BB">
        <w:rPr>
          <w:i/>
        </w:rPr>
        <w:t>Policy Brief No. 26: The future of early childhood education and care services in Australia</w:t>
      </w:r>
      <w:r>
        <w:t xml:space="preserve">, Murdoch </w:t>
      </w:r>
      <w:proofErr w:type="spellStart"/>
      <w:r>
        <w:t>Childrens</w:t>
      </w:r>
      <w:proofErr w:type="spellEnd"/>
      <w:r>
        <w:t xml:space="preserve"> Research Institute, Centre for Community Child Health, 2014.</w:t>
      </w:r>
    </w:p>
  </w:footnote>
  <w:footnote w:id="88">
    <w:p w14:paraId="6B0D543F" w14:textId="5D518087" w:rsidR="00D02193" w:rsidRDefault="00D02193" w:rsidP="00007B05">
      <w:pPr>
        <w:pStyle w:val="FootnoteText"/>
      </w:pPr>
      <w:r>
        <w:rPr>
          <w:rStyle w:val="FootnoteReference"/>
        </w:rPr>
        <w:footnoteRef/>
      </w:r>
      <w:r>
        <w:t xml:space="preserve"> S Fox, A </w:t>
      </w:r>
      <w:proofErr w:type="spellStart"/>
      <w:r>
        <w:t>Southwell</w:t>
      </w:r>
      <w:proofErr w:type="spellEnd"/>
      <w:r>
        <w:t xml:space="preserve">, N Stafford, R </w:t>
      </w:r>
      <w:proofErr w:type="spellStart"/>
      <w:r>
        <w:t>Goodhue</w:t>
      </w:r>
      <w:proofErr w:type="spellEnd"/>
      <w:r>
        <w:t xml:space="preserve">, D Jackson and C Smith, </w:t>
      </w:r>
      <w:r w:rsidRPr="007C4C4E">
        <w:rPr>
          <w:i/>
        </w:rPr>
        <w:t>Better Systems, Better Chances: A Review of Research and Practice for Prevention and Early Intervention</w:t>
      </w:r>
      <w:r>
        <w:t>, Canberra, Australian Research Alliance for Children and Youth (ARACY), 2015, p.3.</w:t>
      </w:r>
    </w:p>
  </w:footnote>
  <w:footnote w:id="89">
    <w:p w14:paraId="193F0F3E" w14:textId="77CF0288" w:rsidR="00D02193" w:rsidRDefault="00D02193" w:rsidP="00007B05">
      <w:pPr>
        <w:pStyle w:val="FootnoteText"/>
      </w:pPr>
      <w:r>
        <w:rPr>
          <w:rStyle w:val="FootnoteReference"/>
        </w:rPr>
        <w:footnoteRef/>
      </w:r>
      <w:r>
        <w:t xml:space="preserve"> </w:t>
      </w:r>
      <w:proofErr w:type="spellStart"/>
      <w:r>
        <w:t>Goodstart</w:t>
      </w:r>
      <w:proofErr w:type="spellEnd"/>
      <w:r>
        <w:t xml:space="preserve"> early learning, ‘Why access to early learning is important for vulnerable children’, </w:t>
      </w:r>
      <w:r w:rsidRPr="00613D8A">
        <w:rPr>
          <w:i/>
        </w:rPr>
        <w:t>Vulnerability</w:t>
      </w:r>
      <w:r>
        <w:t xml:space="preserve">, June 2014. </w:t>
      </w:r>
    </w:p>
  </w:footnote>
  <w:footnote w:id="90">
    <w:p w14:paraId="5148AD74" w14:textId="77777777" w:rsidR="00D02193" w:rsidRDefault="00D02193" w:rsidP="009A348F">
      <w:pPr>
        <w:pStyle w:val="FootnoteText"/>
      </w:pPr>
      <w:r w:rsidRPr="0097618F">
        <w:rPr>
          <w:rStyle w:val="FootnoteReference"/>
          <w:szCs w:val="16"/>
        </w:rPr>
        <w:footnoteRef/>
      </w:r>
      <w:r w:rsidRPr="0097618F">
        <w:rPr>
          <w:szCs w:val="16"/>
        </w:rPr>
        <w:t xml:space="preserve"> </w:t>
      </w:r>
      <w:r>
        <w:t>S</w:t>
      </w:r>
      <w:r w:rsidRPr="0097618F">
        <w:t xml:space="preserve"> </w:t>
      </w:r>
      <w:r>
        <w:t xml:space="preserve">Fox, A </w:t>
      </w:r>
      <w:proofErr w:type="spellStart"/>
      <w:r>
        <w:t>Southwell</w:t>
      </w:r>
      <w:proofErr w:type="spellEnd"/>
      <w:r>
        <w:t xml:space="preserve">, N Stafford, R </w:t>
      </w:r>
      <w:proofErr w:type="spellStart"/>
      <w:r>
        <w:t>Goodhue</w:t>
      </w:r>
      <w:proofErr w:type="spellEnd"/>
      <w:r>
        <w:t>, D Jackson and C Smith,</w:t>
      </w:r>
      <w:r w:rsidRPr="00860B41">
        <w:t xml:space="preserve"> </w:t>
      </w:r>
      <w:r w:rsidRPr="00860B41">
        <w:rPr>
          <w:i/>
        </w:rPr>
        <w:t>Better systems, better chances: A review of research and practice for prevention and early intervention</w:t>
      </w:r>
      <w:r>
        <w:rPr>
          <w:i/>
        </w:rPr>
        <w:t xml:space="preserve">, </w:t>
      </w:r>
      <w:r w:rsidRPr="00860B41">
        <w:t>Australia</w:t>
      </w:r>
      <w:r>
        <w:t xml:space="preserve">n Research Alliance for Children and Youth, 2015, </w:t>
      </w:r>
      <w:r w:rsidRPr="0097618F">
        <w:rPr>
          <w:szCs w:val="16"/>
        </w:rPr>
        <w:t>p.78.</w:t>
      </w:r>
    </w:p>
  </w:footnote>
  <w:footnote w:id="91">
    <w:p w14:paraId="2BA5C425" w14:textId="77777777" w:rsidR="00D02193" w:rsidRDefault="00D02193" w:rsidP="00F63688">
      <w:pPr>
        <w:pStyle w:val="FootnoteText"/>
      </w:pPr>
      <w:r>
        <w:rPr>
          <w:rStyle w:val="FootnoteReference"/>
        </w:rPr>
        <w:footnoteRef/>
      </w:r>
      <w:r>
        <w:t xml:space="preserve"> Deloitte Access Economics, </w:t>
      </w:r>
      <w:r w:rsidRPr="00E253E9">
        <w:rPr>
          <w:i/>
        </w:rPr>
        <w:t>The socio-economic benefits of investing in the prevention of early school leaving</w:t>
      </w:r>
      <w:r>
        <w:t xml:space="preserve">, prepared for Hands </w:t>
      </w:r>
      <w:proofErr w:type="gramStart"/>
      <w:r>
        <w:t>On</w:t>
      </w:r>
      <w:proofErr w:type="gramEnd"/>
      <w:r>
        <w:t xml:space="preserve"> Learning Australia, 2012.</w:t>
      </w:r>
    </w:p>
  </w:footnote>
  <w:footnote w:id="92">
    <w:p w14:paraId="459C2BB2" w14:textId="77777777" w:rsidR="00D02193" w:rsidRPr="007C0F42" w:rsidRDefault="00D02193" w:rsidP="00A61EF3">
      <w:pPr>
        <w:pStyle w:val="FootnoteText"/>
        <w:rPr>
          <w:rFonts w:cs="Arial"/>
        </w:rPr>
      </w:pPr>
      <w:r w:rsidRPr="007C0F42">
        <w:rPr>
          <w:rStyle w:val="FootnoteReference"/>
          <w:rFonts w:cs="Arial"/>
        </w:rPr>
        <w:footnoteRef/>
      </w:r>
      <w:r w:rsidRPr="007C0F42">
        <w:rPr>
          <w:rFonts w:cs="Arial"/>
        </w:rPr>
        <w:t xml:space="preserve"> </w:t>
      </w:r>
      <w:r w:rsidRPr="007C0F42">
        <w:rPr>
          <w:rFonts w:cs="Arial"/>
          <w:color w:val="333333"/>
          <w:shd w:val="clear" w:color="auto" w:fill="FFFFFF"/>
        </w:rPr>
        <w:t xml:space="preserve">Kitty </w:t>
      </w:r>
      <w:proofErr w:type="spellStart"/>
      <w:r w:rsidRPr="007C0F42">
        <w:rPr>
          <w:rFonts w:cs="Arial"/>
          <w:color w:val="333333"/>
          <w:shd w:val="clear" w:color="auto" w:fill="FFFFFF"/>
        </w:rPr>
        <w:t>te</w:t>
      </w:r>
      <w:proofErr w:type="spellEnd"/>
      <w:r w:rsidRPr="007C0F42">
        <w:rPr>
          <w:rFonts w:cs="Arial"/>
          <w:color w:val="333333"/>
          <w:shd w:val="clear" w:color="auto" w:fill="FFFFFF"/>
        </w:rPr>
        <w:t xml:space="preserve"> </w:t>
      </w:r>
      <w:proofErr w:type="spellStart"/>
      <w:r w:rsidRPr="007C0F42">
        <w:rPr>
          <w:rFonts w:cs="Arial"/>
          <w:color w:val="333333"/>
          <w:shd w:val="clear" w:color="auto" w:fill="FFFFFF"/>
        </w:rPr>
        <w:t>Riele</w:t>
      </w:r>
      <w:proofErr w:type="spellEnd"/>
      <w:r w:rsidRPr="007C0F42">
        <w:rPr>
          <w:rFonts w:cs="Arial"/>
          <w:color w:val="333333"/>
          <w:shd w:val="clear" w:color="auto" w:fill="FFFFFF"/>
        </w:rPr>
        <w:t xml:space="preserve"> and Karen </w:t>
      </w:r>
      <w:proofErr w:type="spellStart"/>
      <w:r w:rsidRPr="007C0F42">
        <w:rPr>
          <w:rFonts w:cs="Arial"/>
          <w:color w:val="333333"/>
          <w:shd w:val="clear" w:color="auto" w:fill="FFFFFF"/>
        </w:rPr>
        <w:t>Rosauer</w:t>
      </w:r>
      <w:proofErr w:type="spellEnd"/>
      <w:r w:rsidRPr="007C0F42">
        <w:rPr>
          <w:rFonts w:cs="Arial"/>
          <w:color w:val="333333"/>
          <w:shd w:val="clear" w:color="auto" w:fill="FFFFFF"/>
        </w:rPr>
        <w:t>,</w:t>
      </w:r>
      <w:r w:rsidRPr="007C0F42">
        <w:rPr>
          <w:rStyle w:val="apple-converted-space"/>
          <w:rFonts w:cs="Arial"/>
          <w:color w:val="333333"/>
          <w:shd w:val="clear" w:color="auto" w:fill="FFFFFF"/>
        </w:rPr>
        <w:t> </w:t>
      </w:r>
      <w:r w:rsidRPr="007C0F42">
        <w:rPr>
          <w:rStyle w:val="Emphasis"/>
          <w:rFonts w:cs="Arial"/>
          <w:color w:val="333333"/>
          <w:bdr w:val="none" w:sz="0" w:space="0" w:color="auto" w:frame="1"/>
          <w:shd w:val="clear" w:color="auto" w:fill="FFFFFF"/>
        </w:rPr>
        <w:t>Education at the Heart of the Children’s Court; Evaluation of the Education Justice Initiative Final Report,</w:t>
      </w:r>
      <w:r w:rsidRPr="007C0F42">
        <w:rPr>
          <w:rStyle w:val="apple-converted-space"/>
          <w:rFonts w:cs="Arial"/>
          <w:i/>
          <w:iCs/>
          <w:color w:val="333333"/>
          <w:bdr w:val="none" w:sz="0" w:space="0" w:color="auto" w:frame="1"/>
          <w:shd w:val="clear" w:color="auto" w:fill="FFFFFF"/>
        </w:rPr>
        <w:t> </w:t>
      </w:r>
      <w:r w:rsidRPr="007C0F42">
        <w:rPr>
          <w:rFonts w:cs="Arial"/>
          <w:color w:val="333333"/>
          <w:shd w:val="clear" w:color="auto" w:fill="FFFFFF"/>
        </w:rPr>
        <w:t>The Victorian Institute for Education, Diversity and Lifelong Learning, 2015.</w:t>
      </w:r>
    </w:p>
  </w:footnote>
  <w:footnote w:id="93">
    <w:p w14:paraId="276DAD0E" w14:textId="77777777" w:rsidR="00D02193" w:rsidRPr="007C0F42" w:rsidRDefault="00D02193" w:rsidP="00F63688">
      <w:pPr>
        <w:pStyle w:val="FootnoteText"/>
        <w:rPr>
          <w:rFonts w:cs="Arial"/>
        </w:rPr>
      </w:pPr>
      <w:r w:rsidRPr="007C0F42">
        <w:rPr>
          <w:rStyle w:val="FootnoteReference"/>
          <w:rFonts w:cs="Arial"/>
        </w:rPr>
        <w:footnoteRef/>
      </w:r>
      <w:r w:rsidRPr="007C0F42">
        <w:rPr>
          <w:rFonts w:cs="Arial"/>
        </w:rPr>
        <w:t xml:space="preserve"> </w:t>
      </w:r>
      <w:r w:rsidRPr="007C0F42">
        <w:rPr>
          <w:rFonts w:cs="Arial"/>
          <w:color w:val="333333"/>
          <w:shd w:val="clear" w:color="auto" w:fill="FFFFFF"/>
        </w:rPr>
        <w:t xml:space="preserve">Kitty </w:t>
      </w:r>
      <w:proofErr w:type="spellStart"/>
      <w:r w:rsidRPr="007C0F42">
        <w:rPr>
          <w:rFonts w:cs="Arial"/>
          <w:color w:val="333333"/>
          <w:shd w:val="clear" w:color="auto" w:fill="FFFFFF"/>
        </w:rPr>
        <w:t>te</w:t>
      </w:r>
      <w:proofErr w:type="spellEnd"/>
      <w:r w:rsidRPr="007C0F42">
        <w:rPr>
          <w:rFonts w:cs="Arial"/>
          <w:color w:val="333333"/>
          <w:shd w:val="clear" w:color="auto" w:fill="FFFFFF"/>
        </w:rPr>
        <w:t xml:space="preserve"> </w:t>
      </w:r>
      <w:proofErr w:type="spellStart"/>
      <w:r w:rsidRPr="007C0F42">
        <w:rPr>
          <w:rFonts w:cs="Arial"/>
          <w:color w:val="333333"/>
          <w:shd w:val="clear" w:color="auto" w:fill="FFFFFF"/>
        </w:rPr>
        <w:t>Riele</w:t>
      </w:r>
      <w:proofErr w:type="spellEnd"/>
      <w:r w:rsidRPr="007C0F42">
        <w:rPr>
          <w:rFonts w:cs="Arial"/>
          <w:color w:val="333333"/>
          <w:shd w:val="clear" w:color="auto" w:fill="FFFFFF"/>
        </w:rPr>
        <w:t xml:space="preserve"> and Karen </w:t>
      </w:r>
      <w:proofErr w:type="spellStart"/>
      <w:r w:rsidRPr="007C0F42">
        <w:rPr>
          <w:rFonts w:cs="Arial"/>
          <w:color w:val="333333"/>
          <w:shd w:val="clear" w:color="auto" w:fill="FFFFFF"/>
        </w:rPr>
        <w:t>Rosauer</w:t>
      </w:r>
      <w:proofErr w:type="spellEnd"/>
      <w:r w:rsidRPr="007C0F42">
        <w:rPr>
          <w:rFonts w:cs="Arial"/>
          <w:color w:val="333333"/>
          <w:shd w:val="clear" w:color="auto" w:fill="FFFFFF"/>
        </w:rPr>
        <w:t>,</w:t>
      </w:r>
      <w:r w:rsidRPr="007C0F42">
        <w:rPr>
          <w:rStyle w:val="apple-converted-space"/>
          <w:rFonts w:cs="Arial"/>
          <w:color w:val="333333"/>
          <w:shd w:val="clear" w:color="auto" w:fill="FFFFFF"/>
        </w:rPr>
        <w:t> </w:t>
      </w:r>
      <w:r w:rsidRPr="007C0F42">
        <w:rPr>
          <w:rStyle w:val="Emphasis"/>
          <w:rFonts w:cs="Arial"/>
          <w:color w:val="333333"/>
          <w:bdr w:val="none" w:sz="0" w:space="0" w:color="auto" w:frame="1"/>
          <w:shd w:val="clear" w:color="auto" w:fill="FFFFFF"/>
        </w:rPr>
        <w:t>Education at the Heart of the Children’s Court; Evaluation of the Education Justice Initiative Final Report,</w:t>
      </w:r>
      <w:r w:rsidRPr="007C0F42">
        <w:rPr>
          <w:rStyle w:val="apple-converted-space"/>
          <w:rFonts w:cs="Arial"/>
          <w:i/>
          <w:iCs/>
          <w:color w:val="333333"/>
          <w:bdr w:val="none" w:sz="0" w:space="0" w:color="auto" w:frame="1"/>
          <w:shd w:val="clear" w:color="auto" w:fill="FFFFFF"/>
        </w:rPr>
        <w:t> </w:t>
      </w:r>
      <w:r w:rsidRPr="007C0F42">
        <w:rPr>
          <w:rFonts w:cs="Arial"/>
          <w:color w:val="333333"/>
          <w:shd w:val="clear" w:color="auto" w:fill="FFFFFF"/>
        </w:rPr>
        <w:t>The Victorian Institute for Education, Diversity and Lifelong Learning, 2015.</w:t>
      </w:r>
    </w:p>
  </w:footnote>
  <w:footnote w:id="94">
    <w:p w14:paraId="1E3F0E7D" w14:textId="257F1319" w:rsidR="00D02193" w:rsidRDefault="00D02193">
      <w:pPr>
        <w:pStyle w:val="FootnoteText"/>
      </w:pPr>
      <w:r>
        <w:rPr>
          <w:rStyle w:val="FootnoteReference"/>
        </w:rPr>
        <w:footnoteRef/>
      </w:r>
      <w:r>
        <w:t xml:space="preserve"> </w:t>
      </w:r>
      <w:r w:rsidRPr="00AB5B59">
        <w:t xml:space="preserve">VCOSS, </w:t>
      </w:r>
      <w:proofErr w:type="spellStart"/>
      <w:r w:rsidRPr="00AB5B59">
        <w:t>YACVic</w:t>
      </w:r>
      <w:proofErr w:type="spellEnd"/>
      <w:r w:rsidRPr="00AB5B59">
        <w:t xml:space="preserve">, </w:t>
      </w:r>
      <w:r>
        <w:t xml:space="preserve">the </w:t>
      </w:r>
      <w:r w:rsidRPr="00AB5B59">
        <w:t xml:space="preserve">Centre for Excellence in Child and Family Welfare, </w:t>
      </w:r>
      <w:r>
        <w:t>Hume Whittlesea LLEN</w:t>
      </w:r>
      <w:r w:rsidRPr="00AB5B59">
        <w:t xml:space="preserve"> and E</w:t>
      </w:r>
      <w:r>
        <w:t xml:space="preserve">arly Learning Association Australia, </w:t>
      </w:r>
      <w:hyperlink r:id="rId14" w:history="1">
        <w:r w:rsidRPr="00C93A62">
          <w:rPr>
            <w:rStyle w:val="Hyperlink"/>
            <w:i/>
            <w:sz w:val="16"/>
          </w:rPr>
          <w:t>Creating engaging schools for all children and young people: What works</w:t>
        </w:r>
      </w:hyperlink>
      <w:r>
        <w:t xml:space="preserve">, December </w:t>
      </w:r>
      <w:proofErr w:type="gramStart"/>
      <w:r>
        <w:t>2016.</w:t>
      </w:r>
      <w:proofErr w:type="gramEnd"/>
    </w:p>
  </w:footnote>
  <w:footnote w:id="95">
    <w:p w14:paraId="0A95BE3D" w14:textId="328CD454" w:rsidR="00D02193" w:rsidRPr="007C0F42" w:rsidRDefault="00D02193" w:rsidP="00F63688">
      <w:pPr>
        <w:pStyle w:val="FootnoteText"/>
        <w:rPr>
          <w:rFonts w:cs="Arial"/>
        </w:rPr>
      </w:pPr>
      <w:r w:rsidRPr="007C0F42">
        <w:rPr>
          <w:rStyle w:val="FootnoteReference"/>
          <w:rFonts w:cs="Arial"/>
        </w:rPr>
        <w:footnoteRef/>
      </w:r>
      <w:r w:rsidRPr="007C0F42">
        <w:rPr>
          <w:rFonts w:cs="Arial"/>
        </w:rPr>
        <w:t xml:space="preserve"> K </w:t>
      </w:r>
      <w:proofErr w:type="spellStart"/>
      <w:r w:rsidRPr="007C0F42">
        <w:rPr>
          <w:rFonts w:cs="Arial"/>
        </w:rPr>
        <w:t>te</w:t>
      </w:r>
      <w:proofErr w:type="spellEnd"/>
      <w:r w:rsidRPr="007C0F42">
        <w:rPr>
          <w:rFonts w:cs="Arial"/>
        </w:rPr>
        <w:t xml:space="preserve"> </w:t>
      </w:r>
      <w:proofErr w:type="spellStart"/>
      <w:r w:rsidRPr="007C0F42">
        <w:rPr>
          <w:rFonts w:cs="Arial"/>
        </w:rPr>
        <w:t>Riele</w:t>
      </w:r>
      <w:proofErr w:type="spellEnd"/>
      <w:r w:rsidRPr="007C0F42">
        <w:rPr>
          <w:rFonts w:cs="Arial"/>
        </w:rPr>
        <w:t xml:space="preserve"> and K </w:t>
      </w:r>
      <w:proofErr w:type="spellStart"/>
      <w:r w:rsidRPr="007C0F42">
        <w:rPr>
          <w:rFonts w:cs="Arial"/>
        </w:rPr>
        <w:t>Rosauer</w:t>
      </w:r>
      <w:proofErr w:type="spellEnd"/>
      <w:r w:rsidRPr="007C0F42">
        <w:rPr>
          <w:rFonts w:cs="Arial"/>
        </w:rPr>
        <w:t xml:space="preserve">, The Victoria Institute for Education, </w:t>
      </w:r>
      <w:r w:rsidRPr="008F1628">
        <w:rPr>
          <w:rFonts w:cs="Arial"/>
          <w:i/>
        </w:rPr>
        <w:t>Diversity and Lifelong Learning</w:t>
      </w:r>
      <w:r w:rsidRPr="008F1628">
        <w:rPr>
          <w:rFonts w:cs="Arial"/>
        </w:rPr>
        <w:t xml:space="preserve">, </w:t>
      </w:r>
      <w:r w:rsidRPr="007C0F42">
        <w:rPr>
          <w:rFonts w:cs="Arial"/>
        </w:rPr>
        <w:t xml:space="preserve">Melbourne, December 2015. </w:t>
      </w:r>
    </w:p>
  </w:footnote>
  <w:footnote w:id="96">
    <w:p w14:paraId="2DAFE907" w14:textId="77777777" w:rsidR="00D02193" w:rsidRDefault="00D02193" w:rsidP="00F63688">
      <w:pPr>
        <w:pStyle w:val="FootnoteText"/>
      </w:pPr>
      <w:r w:rsidRPr="007C0F42">
        <w:rPr>
          <w:rStyle w:val="FootnoteReference"/>
          <w:rFonts w:cs="Arial"/>
        </w:rPr>
        <w:footnoteRef/>
      </w:r>
      <w:r w:rsidRPr="007C0F42">
        <w:rPr>
          <w:rFonts w:cs="Arial"/>
        </w:rPr>
        <w:t xml:space="preserve"> K </w:t>
      </w:r>
      <w:proofErr w:type="spellStart"/>
      <w:r w:rsidRPr="007C0F42">
        <w:rPr>
          <w:rFonts w:cs="Arial"/>
        </w:rPr>
        <w:t>te</w:t>
      </w:r>
      <w:proofErr w:type="spellEnd"/>
      <w:r w:rsidRPr="007C0F42">
        <w:rPr>
          <w:rFonts w:cs="Arial"/>
        </w:rPr>
        <w:t xml:space="preserve"> </w:t>
      </w:r>
      <w:proofErr w:type="spellStart"/>
      <w:r w:rsidRPr="007C0F42">
        <w:rPr>
          <w:rFonts w:cs="Arial"/>
        </w:rPr>
        <w:t>Riele</w:t>
      </w:r>
      <w:proofErr w:type="spellEnd"/>
      <w:r w:rsidRPr="007C0F42">
        <w:rPr>
          <w:rFonts w:cs="Arial"/>
        </w:rPr>
        <w:t xml:space="preserve"> and K </w:t>
      </w:r>
      <w:proofErr w:type="spellStart"/>
      <w:r w:rsidRPr="007C0F42">
        <w:rPr>
          <w:rFonts w:cs="Arial"/>
        </w:rPr>
        <w:t>Rosauer</w:t>
      </w:r>
      <w:proofErr w:type="spellEnd"/>
      <w:r w:rsidRPr="007C0F42">
        <w:rPr>
          <w:rFonts w:cs="Arial"/>
        </w:rPr>
        <w:t xml:space="preserve">, Education at the Heart of the Children’s Court Evaluation of the Education Justice Initiative Final Report, The Victoria Institute for Education, </w:t>
      </w:r>
      <w:r w:rsidRPr="008F1628">
        <w:rPr>
          <w:rFonts w:cs="Arial"/>
          <w:i/>
        </w:rPr>
        <w:t>Diversity and Lifelong Learning</w:t>
      </w:r>
      <w:r w:rsidRPr="007C0F42">
        <w:rPr>
          <w:rFonts w:cs="Arial"/>
        </w:rPr>
        <w:t>, Melbourne, December 2015.</w:t>
      </w:r>
      <w:r>
        <w:t xml:space="preserve"> </w:t>
      </w:r>
    </w:p>
  </w:footnote>
  <w:footnote w:id="97">
    <w:p w14:paraId="508B743A" w14:textId="77777777" w:rsidR="00D02193" w:rsidRDefault="00D02193" w:rsidP="00F63688">
      <w:pPr>
        <w:pStyle w:val="FootnoteText"/>
      </w:pPr>
      <w:r>
        <w:rPr>
          <w:rStyle w:val="FootnoteReference"/>
        </w:rPr>
        <w:footnoteRef/>
      </w:r>
      <w:r>
        <w:t xml:space="preserve"> K </w:t>
      </w:r>
      <w:proofErr w:type="spellStart"/>
      <w:r>
        <w:t>te</w:t>
      </w:r>
      <w:proofErr w:type="spellEnd"/>
      <w:r>
        <w:t xml:space="preserve"> </w:t>
      </w:r>
      <w:proofErr w:type="spellStart"/>
      <w:r>
        <w:t>Riele</w:t>
      </w:r>
      <w:proofErr w:type="spellEnd"/>
      <w:r>
        <w:t xml:space="preserve"> and K </w:t>
      </w:r>
      <w:proofErr w:type="spellStart"/>
      <w:r>
        <w:t>Rosauer</w:t>
      </w:r>
      <w:proofErr w:type="spellEnd"/>
      <w:r>
        <w:t xml:space="preserve">, </w:t>
      </w:r>
      <w:r w:rsidRPr="008F1628">
        <w:rPr>
          <w:i/>
        </w:rPr>
        <w:t>Education at the Heart of the Children’s Court Evaluation of the Education Justice Initiative Final Report</w:t>
      </w:r>
      <w:r>
        <w:t>, The Victoria Institute for Education, Diversity and Lifelong Learning, Melbourne, December 2015, p.55.</w:t>
      </w:r>
    </w:p>
  </w:footnote>
  <w:footnote w:id="98">
    <w:p w14:paraId="10F6C83D" w14:textId="77777777" w:rsidR="00D02193" w:rsidRDefault="00D02193" w:rsidP="00F63688">
      <w:pPr>
        <w:pStyle w:val="FootnoteText"/>
      </w:pPr>
      <w:r>
        <w:rPr>
          <w:rStyle w:val="FootnoteReference"/>
        </w:rPr>
        <w:footnoteRef/>
      </w:r>
      <w:r>
        <w:t xml:space="preserve"> K </w:t>
      </w:r>
      <w:proofErr w:type="spellStart"/>
      <w:r>
        <w:t>te</w:t>
      </w:r>
      <w:proofErr w:type="spellEnd"/>
      <w:r>
        <w:t xml:space="preserve"> </w:t>
      </w:r>
      <w:proofErr w:type="spellStart"/>
      <w:r>
        <w:t>Riele</w:t>
      </w:r>
      <w:proofErr w:type="spellEnd"/>
      <w:r>
        <w:t xml:space="preserve"> and K </w:t>
      </w:r>
      <w:proofErr w:type="spellStart"/>
      <w:r>
        <w:t>Rosauer</w:t>
      </w:r>
      <w:proofErr w:type="spellEnd"/>
      <w:r>
        <w:t xml:space="preserve">, </w:t>
      </w:r>
      <w:r w:rsidRPr="008F1628">
        <w:rPr>
          <w:i/>
        </w:rPr>
        <w:t>Education at the Heart of the Children’s Court Evaluation of the Education Justice Initiative Final Report</w:t>
      </w:r>
      <w:r>
        <w:t>, The Victoria Institute for Education, Diversity and Lifelong Learning, Melbourne, December 2015, p.55.</w:t>
      </w:r>
    </w:p>
  </w:footnote>
  <w:footnote w:id="99">
    <w:p w14:paraId="3D8318B3" w14:textId="77777777" w:rsidR="00D02193" w:rsidRPr="004E3050" w:rsidRDefault="00D02193" w:rsidP="00B4344D">
      <w:pPr>
        <w:pStyle w:val="FootnoteText"/>
        <w:rPr>
          <w:szCs w:val="16"/>
          <w:lang w:val="en-US"/>
        </w:rPr>
      </w:pPr>
      <w:r w:rsidRPr="004E3050">
        <w:rPr>
          <w:rStyle w:val="FootnoteReference"/>
          <w:szCs w:val="16"/>
        </w:rPr>
        <w:footnoteRef/>
      </w:r>
      <w:r w:rsidRPr="004E3050">
        <w:rPr>
          <w:szCs w:val="16"/>
        </w:rPr>
        <w:t xml:space="preserve"> </w:t>
      </w:r>
      <w:r w:rsidRPr="004E3050">
        <w:rPr>
          <w:rFonts w:cs="Arial"/>
          <w:szCs w:val="16"/>
          <w:shd w:val="clear" w:color="auto" w:fill="FFFFFF"/>
        </w:rPr>
        <w:t xml:space="preserve">J Cashmore, </w:t>
      </w:r>
      <w:r w:rsidRPr="004E3050">
        <w:rPr>
          <w:rFonts w:cs="Arial"/>
          <w:i/>
          <w:iCs/>
          <w:szCs w:val="16"/>
          <w:shd w:val="clear" w:color="auto" w:fill="FFFFFF"/>
        </w:rPr>
        <w:t>The link between child maltreatment and adolescent offending</w:t>
      </w:r>
      <w:r w:rsidRPr="004E3050">
        <w:rPr>
          <w:rFonts w:cs="Arial"/>
          <w:szCs w:val="16"/>
          <w:shd w:val="clear" w:color="auto" w:fill="FFFFFF"/>
        </w:rPr>
        <w:t>, Family Matters No. 89, Australian Institute of Family Studies, December 2011</w:t>
      </w:r>
    </w:p>
  </w:footnote>
  <w:footnote w:id="100">
    <w:p w14:paraId="47E9C5BF" w14:textId="77777777" w:rsidR="00D02193" w:rsidRPr="00604176" w:rsidRDefault="00D02193" w:rsidP="009E736B">
      <w:pPr>
        <w:pStyle w:val="FootnoteText"/>
        <w:rPr>
          <w:rFonts w:asciiTheme="minorBidi" w:hAnsiTheme="minorBidi"/>
          <w:szCs w:val="16"/>
        </w:rPr>
      </w:pPr>
      <w:r>
        <w:rPr>
          <w:rStyle w:val="FootnoteReference"/>
        </w:rPr>
        <w:footnoteRef/>
      </w:r>
      <w:r>
        <w:t xml:space="preserve"> </w:t>
      </w:r>
      <w:r w:rsidRPr="00604176">
        <w:rPr>
          <w:rFonts w:asciiTheme="minorBidi" w:hAnsiTheme="minorBidi"/>
          <w:szCs w:val="16"/>
        </w:rPr>
        <w:t xml:space="preserve">Australian Institute of Health and Welfare, </w:t>
      </w:r>
      <w:r w:rsidRPr="00604176">
        <w:rPr>
          <w:rFonts w:asciiTheme="minorBidi" w:hAnsiTheme="minorBidi"/>
          <w:i/>
          <w:iCs/>
          <w:szCs w:val="16"/>
        </w:rPr>
        <w:t>Young people in child protection and under youth justice supervision 2014–15</w:t>
      </w:r>
      <w:r w:rsidRPr="00604176">
        <w:rPr>
          <w:rFonts w:asciiTheme="minorBidi" w:hAnsiTheme="minorBidi"/>
          <w:szCs w:val="16"/>
        </w:rPr>
        <w:t xml:space="preserve">, data linkage series No. 22, Cat. </w:t>
      </w:r>
      <w:proofErr w:type="gramStart"/>
      <w:r w:rsidRPr="00604176">
        <w:rPr>
          <w:rFonts w:asciiTheme="minorBidi" w:hAnsiTheme="minorBidi"/>
          <w:szCs w:val="16"/>
        </w:rPr>
        <w:t>no</w:t>
      </w:r>
      <w:proofErr w:type="gramEnd"/>
      <w:r w:rsidRPr="00604176">
        <w:rPr>
          <w:rFonts w:asciiTheme="minorBidi" w:hAnsiTheme="minorBidi"/>
          <w:szCs w:val="16"/>
        </w:rPr>
        <w:t>. CSI 24, Canberra, AIHW, 2016</w:t>
      </w:r>
    </w:p>
  </w:footnote>
  <w:footnote w:id="101">
    <w:p w14:paraId="556A342C" w14:textId="77777777" w:rsidR="00D02193" w:rsidRPr="00604176" w:rsidRDefault="00D02193" w:rsidP="00127C49">
      <w:pPr>
        <w:pStyle w:val="FootnoteText"/>
        <w:rPr>
          <w:rFonts w:asciiTheme="minorBidi" w:hAnsiTheme="minorBidi"/>
          <w:szCs w:val="16"/>
        </w:rPr>
      </w:pPr>
      <w:r>
        <w:rPr>
          <w:rStyle w:val="FootnoteReference"/>
        </w:rPr>
        <w:footnoteRef/>
      </w:r>
      <w:r>
        <w:t xml:space="preserve"> </w:t>
      </w:r>
      <w:r w:rsidRPr="00604176">
        <w:rPr>
          <w:rFonts w:asciiTheme="minorBidi" w:hAnsiTheme="minorBidi"/>
          <w:szCs w:val="16"/>
        </w:rPr>
        <w:t xml:space="preserve">Australian Institute of Health and Welfare, </w:t>
      </w:r>
      <w:r w:rsidRPr="00604176">
        <w:rPr>
          <w:rFonts w:asciiTheme="minorBidi" w:hAnsiTheme="minorBidi"/>
          <w:i/>
          <w:iCs/>
          <w:szCs w:val="16"/>
        </w:rPr>
        <w:t>Young people in child protection and under youth justice supervision 2014–15</w:t>
      </w:r>
      <w:r w:rsidRPr="00604176">
        <w:rPr>
          <w:rFonts w:asciiTheme="minorBidi" w:hAnsiTheme="minorBidi"/>
          <w:szCs w:val="16"/>
        </w:rPr>
        <w:t xml:space="preserve">, data linkage series No. 22, Cat. </w:t>
      </w:r>
      <w:proofErr w:type="gramStart"/>
      <w:r w:rsidRPr="00604176">
        <w:rPr>
          <w:rFonts w:asciiTheme="minorBidi" w:hAnsiTheme="minorBidi"/>
          <w:szCs w:val="16"/>
        </w:rPr>
        <w:t>no</w:t>
      </w:r>
      <w:proofErr w:type="gramEnd"/>
      <w:r w:rsidRPr="00604176">
        <w:rPr>
          <w:rFonts w:asciiTheme="minorBidi" w:hAnsiTheme="minorBidi"/>
          <w:szCs w:val="16"/>
        </w:rPr>
        <w:t>. CSI 24, Canberra, AIHW, 2016</w:t>
      </w:r>
    </w:p>
  </w:footnote>
  <w:footnote w:id="102">
    <w:p w14:paraId="6660707F" w14:textId="77777777" w:rsidR="00D02193" w:rsidRPr="00604176" w:rsidRDefault="00D02193" w:rsidP="00127C49">
      <w:pPr>
        <w:pStyle w:val="FootnoteText"/>
        <w:rPr>
          <w:rFonts w:asciiTheme="minorBidi" w:hAnsiTheme="minorBidi"/>
          <w:szCs w:val="16"/>
        </w:rPr>
      </w:pPr>
      <w:r>
        <w:rPr>
          <w:rStyle w:val="FootnoteReference"/>
        </w:rPr>
        <w:footnoteRef/>
      </w:r>
      <w:r>
        <w:t xml:space="preserve"> </w:t>
      </w:r>
      <w:r w:rsidRPr="00604176">
        <w:rPr>
          <w:rFonts w:asciiTheme="minorBidi" w:hAnsiTheme="minorBidi"/>
          <w:szCs w:val="16"/>
        </w:rPr>
        <w:t xml:space="preserve">Australian Institute of Health and Welfare, </w:t>
      </w:r>
      <w:r w:rsidRPr="00604176">
        <w:rPr>
          <w:rFonts w:asciiTheme="minorBidi" w:hAnsiTheme="minorBidi"/>
          <w:i/>
          <w:iCs/>
          <w:szCs w:val="16"/>
        </w:rPr>
        <w:t>Young people in child protection and under youth justice supervision 2014–15</w:t>
      </w:r>
      <w:r w:rsidRPr="00604176">
        <w:rPr>
          <w:rFonts w:asciiTheme="minorBidi" w:hAnsiTheme="minorBidi"/>
          <w:szCs w:val="16"/>
        </w:rPr>
        <w:t xml:space="preserve">, data linkage series No. 22, Cat. </w:t>
      </w:r>
      <w:proofErr w:type="gramStart"/>
      <w:r w:rsidRPr="00604176">
        <w:rPr>
          <w:rFonts w:asciiTheme="minorBidi" w:hAnsiTheme="minorBidi"/>
          <w:szCs w:val="16"/>
        </w:rPr>
        <w:t>no</w:t>
      </w:r>
      <w:proofErr w:type="gramEnd"/>
      <w:r w:rsidRPr="00604176">
        <w:rPr>
          <w:rFonts w:asciiTheme="minorBidi" w:hAnsiTheme="minorBidi"/>
          <w:szCs w:val="16"/>
        </w:rPr>
        <w:t>. CSI 24, Canberra, AIHW, 2016</w:t>
      </w:r>
    </w:p>
  </w:footnote>
  <w:footnote w:id="103">
    <w:p w14:paraId="35E064FB" w14:textId="44BAB717" w:rsidR="00D02193" w:rsidRPr="00ED2AB3" w:rsidRDefault="00D02193">
      <w:pPr>
        <w:pStyle w:val="FootnoteText"/>
        <w:rPr>
          <w:lang w:val="en-US"/>
        </w:rPr>
      </w:pPr>
      <w:r>
        <w:rPr>
          <w:rStyle w:val="FootnoteReference"/>
        </w:rPr>
        <w:footnoteRef/>
      </w:r>
      <w:r w:rsidRPr="004E3050">
        <w:rPr>
          <w:szCs w:val="16"/>
        </w:rPr>
        <w:t xml:space="preserve"> </w:t>
      </w:r>
      <w:r w:rsidRPr="004E3050">
        <w:rPr>
          <w:rFonts w:cs="Arial"/>
          <w:szCs w:val="16"/>
          <w:shd w:val="clear" w:color="auto" w:fill="FFFFFF"/>
        </w:rPr>
        <w:t xml:space="preserve">J Cashmore, </w:t>
      </w:r>
      <w:r w:rsidRPr="004E3050">
        <w:rPr>
          <w:rFonts w:cs="Arial"/>
          <w:i/>
          <w:iCs/>
          <w:szCs w:val="16"/>
          <w:shd w:val="clear" w:color="auto" w:fill="FFFFFF"/>
        </w:rPr>
        <w:t>The link between child maltreatment and adolescent offending</w:t>
      </w:r>
      <w:r w:rsidRPr="004E3050">
        <w:rPr>
          <w:rFonts w:cs="Arial"/>
          <w:szCs w:val="16"/>
          <w:shd w:val="clear" w:color="auto" w:fill="FFFFFF"/>
        </w:rPr>
        <w:t>, Family Matters No. 89, Australian Institute of Family Studies, December 2011</w:t>
      </w:r>
    </w:p>
  </w:footnote>
  <w:footnote w:id="104">
    <w:p w14:paraId="6E4542E9" w14:textId="77777777" w:rsidR="00D02193" w:rsidRPr="007C0F42" w:rsidRDefault="00D02193" w:rsidP="007C0F42">
      <w:pPr>
        <w:pStyle w:val="FootnoteText"/>
        <w:rPr>
          <w:szCs w:val="16"/>
        </w:rPr>
      </w:pPr>
      <w:r w:rsidRPr="007C0F42">
        <w:rPr>
          <w:rStyle w:val="FootnoteReference"/>
          <w:szCs w:val="16"/>
        </w:rPr>
        <w:footnoteRef/>
      </w:r>
      <w:r w:rsidRPr="007C0F42">
        <w:rPr>
          <w:szCs w:val="16"/>
        </w:rPr>
        <w:t xml:space="preserve"> Victorian Legal Aid, </w:t>
      </w:r>
      <w:r w:rsidRPr="008F1628">
        <w:rPr>
          <w:i/>
          <w:szCs w:val="16"/>
        </w:rPr>
        <w:t>Care not custody: A new approach to keep kids in residential care out of the criminal justice system</w:t>
      </w:r>
      <w:r w:rsidRPr="007C0F42">
        <w:rPr>
          <w:szCs w:val="16"/>
        </w:rPr>
        <w:t xml:space="preserve">, Corporate Affairs, Victoria Legal Aid, 2016. </w:t>
      </w:r>
    </w:p>
  </w:footnote>
  <w:footnote w:id="105">
    <w:p w14:paraId="7224E658" w14:textId="77777777" w:rsidR="00D02193" w:rsidRPr="007C0F42" w:rsidRDefault="00D02193" w:rsidP="007C0F42">
      <w:pPr>
        <w:pStyle w:val="FootnoteText"/>
        <w:rPr>
          <w:szCs w:val="16"/>
        </w:rPr>
      </w:pPr>
      <w:r w:rsidRPr="007C0F42">
        <w:rPr>
          <w:rStyle w:val="FootnoteReference"/>
          <w:szCs w:val="16"/>
        </w:rPr>
        <w:footnoteRef/>
      </w:r>
      <w:r w:rsidRPr="007C0F42">
        <w:rPr>
          <w:szCs w:val="16"/>
        </w:rPr>
        <w:t xml:space="preserve"> Victorian Legal Aid, </w:t>
      </w:r>
      <w:r w:rsidRPr="008F1628">
        <w:rPr>
          <w:i/>
          <w:szCs w:val="16"/>
        </w:rPr>
        <w:t>Care not custody: A new approach to keep kids in residential care out of the criminal justice system</w:t>
      </w:r>
      <w:r w:rsidRPr="007C0F42">
        <w:rPr>
          <w:szCs w:val="16"/>
        </w:rPr>
        <w:t xml:space="preserve">, Corporate Affairs, Victoria Legal Aid, 2016. </w:t>
      </w:r>
    </w:p>
  </w:footnote>
  <w:footnote w:id="106">
    <w:p w14:paraId="15BCC407" w14:textId="77777777" w:rsidR="00D02193" w:rsidRPr="007C0F42" w:rsidRDefault="00D02193" w:rsidP="007C0F42">
      <w:pPr>
        <w:pStyle w:val="FootnoteText"/>
        <w:rPr>
          <w:szCs w:val="16"/>
        </w:rPr>
      </w:pPr>
      <w:r w:rsidRPr="007C0F42">
        <w:rPr>
          <w:rStyle w:val="FootnoteReference"/>
          <w:szCs w:val="16"/>
        </w:rPr>
        <w:footnoteRef/>
      </w:r>
      <w:r w:rsidRPr="007C0F42">
        <w:rPr>
          <w:szCs w:val="16"/>
        </w:rPr>
        <w:t xml:space="preserve"> Victorian Legal Aid, </w:t>
      </w:r>
      <w:r w:rsidRPr="008F1628">
        <w:rPr>
          <w:i/>
          <w:szCs w:val="16"/>
        </w:rPr>
        <w:t>Care not custody: A new approach to keep kids in residential care out of the criminal justice system</w:t>
      </w:r>
      <w:r w:rsidRPr="007C0F42">
        <w:rPr>
          <w:szCs w:val="16"/>
        </w:rPr>
        <w:t xml:space="preserve">, Corporate Affairs, Victoria Legal Aid, 2016. </w:t>
      </w:r>
    </w:p>
  </w:footnote>
  <w:footnote w:id="107">
    <w:p w14:paraId="3CA9B36E" w14:textId="2E0C8A58" w:rsidR="00D02193" w:rsidRPr="007C0F42" w:rsidRDefault="00D02193" w:rsidP="007C0F42">
      <w:pPr>
        <w:pStyle w:val="FootnoteText"/>
        <w:rPr>
          <w:szCs w:val="16"/>
        </w:rPr>
      </w:pPr>
      <w:r w:rsidRPr="007C0F42">
        <w:rPr>
          <w:rStyle w:val="FootnoteReference"/>
          <w:szCs w:val="16"/>
        </w:rPr>
        <w:footnoteRef/>
      </w:r>
      <w:r w:rsidRPr="007C0F42">
        <w:rPr>
          <w:szCs w:val="16"/>
        </w:rPr>
        <w:t xml:space="preserve"> </w:t>
      </w:r>
      <w:proofErr w:type="spellStart"/>
      <w:r w:rsidRPr="007C0F42">
        <w:rPr>
          <w:rFonts w:cs="Arial"/>
          <w:color w:val="333333"/>
          <w:szCs w:val="16"/>
          <w:shd w:val="clear" w:color="auto" w:fill="FFFFFF"/>
        </w:rPr>
        <w:t>UnitingCare</w:t>
      </w:r>
      <w:proofErr w:type="spellEnd"/>
      <w:r w:rsidRPr="007C0F42">
        <w:rPr>
          <w:rFonts w:cs="Arial"/>
          <w:color w:val="333333"/>
          <w:szCs w:val="16"/>
          <w:shd w:val="clear" w:color="auto" w:fill="FFFFFF"/>
        </w:rPr>
        <w:t>,</w:t>
      </w:r>
      <w:r w:rsidRPr="007C0F42">
        <w:rPr>
          <w:rStyle w:val="apple-converted-space"/>
          <w:rFonts w:cs="Arial"/>
          <w:color w:val="333333"/>
          <w:szCs w:val="16"/>
          <w:shd w:val="clear" w:color="auto" w:fill="FFFFFF"/>
        </w:rPr>
        <w:t> </w:t>
      </w:r>
      <w:r w:rsidRPr="007C0F42">
        <w:rPr>
          <w:rStyle w:val="Emphasis"/>
          <w:rFonts w:cs="Arial"/>
          <w:color w:val="333333"/>
          <w:szCs w:val="16"/>
          <w:bdr w:val="none" w:sz="0" w:space="0" w:color="auto" w:frame="1"/>
          <w:shd w:val="clear" w:color="auto" w:fill="FFFFFF"/>
        </w:rPr>
        <w:t>Young people transitioning from out-of-home care to adulthood: Review of policy and program approaches in Australia and overseas,</w:t>
      </w:r>
      <w:r w:rsidRPr="007C0F42">
        <w:rPr>
          <w:rStyle w:val="apple-converted-space"/>
          <w:rFonts w:cs="Arial"/>
          <w:i/>
          <w:iCs/>
          <w:color w:val="333333"/>
          <w:szCs w:val="16"/>
          <w:bdr w:val="none" w:sz="0" w:space="0" w:color="auto" w:frame="1"/>
          <w:shd w:val="clear" w:color="auto" w:fill="FFFFFF"/>
        </w:rPr>
        <w:t> </w:t>
      </w:r>
      <w:r w:rsidRPr="007C0F42">
        <w:rPr>
          <w:rFonts w:cs="Arial"/>
          <w:color w:val="333333"/>
          <w:szCs w:val="16"/>
          <w:shd w:val="clear" w:color="auto" w:fill="FFFFFF"/>
        </w:rPr>
        <w:t>July 2014, p. 2.</w:t>
      </w:r>
    </w:p>
  </w:footnote>
  <w:footnote w:id="108">
    <w:p w14:paraId="58325DA1" w14:textId="56762133" w:rsidR="00D02193" w:rsidRPr="007C0F42" w:rsidRDefault="00D02193" w:rsidP="007C0F42">
      <w:pPr>
        <w:pStyle w:val="FootnoteText"/>
        <w:rPr>
          <w:szCs w:val="16"/>
        </w:rPr>
      </w:pPr>
      <w:r w:rsidRPr="007C0F42">
        <w:rPr>
          <w:rStyle w:val="FootnoteReference"/>
          <w:szCs w:val="16"/>
        </w:rPr>
        <w:footnoteRef/>
      </w:r>
      <w:r w:rsidRPr="007C0F42">
        <w:rPr>
          <w:rStyle w:val="FootnoteReference"/>
          <w:szCs w:val="16"/>
        </w:rPr>
        <w:footnoteRef/>
      </w:r>
      <w:r w:rsidRPr="007C0F42">
        <w:rPr>
          <w:szCs w:val="16"/>
        </w:rPr>
        <w:t xml:space="preserve"> </w:t>
      </w:r>
      <w:r w:rsidRPr="007C0F42">
        <w:rPr>
          <w:rStyle w:val="apple-converted-space"/>
          <w:rFonts w:cs="Arial"/>
          <w:color w:val="333333"/>
          <w:szCs w:val="16"/>
          <w:shd w:val="clear" w:color="auto" w:fill="FFFFFF"/>
        </w:rPr>
        <w:t> </w:t>
      </w:r>
      <w:r w:rsidRPr="007C0F42">
        <w:rPr>
          <w:rFonts w:cs="Arial"/>
          <w:color w:val="333333"/>
          <w:szCs w:val="16"/>
          <w:shd w:val="clear" w:color="auto" w:fill="FFFFFF"/>
        </w:rPr>
        <w:t xml:space="preserve">P Mendes, G Johnson and B </w:t>
      </w:r>
      <w:proofErr w:type="spellStart"/>
      <w:r w:rsidRPr="007C0F42">
        <w:rPr>
          <w:rFonts w:cs="Arial"/>
          <w:color w:val="333333"/>
          <w:szCs w:val="16"/>
          <w:shd w:val="clear" w:color="auto" w:fill="FFFFFF"/>
        </w:rPr>
        <w:t>Moslehuddin</w:t>
      </w:r>
      <w:proofErr w:type="spellEnd"/>
      <w:r w:rsidRPr="007C0F42">
        <w:rPr>
          <w:rFonts w:cs="Arial"/>
          <w:color w:val="333333"/>
          <w:szCs w:val="16"/>
          <w:shd w:val="clear" w:color="auto" w:fill="FFFFFF"/>
        </w:rPr>
        <w:t>, ’Effectively preparing young people to transition from out-of-home care: An examination of three recent Australian studies’,</w:t>
      </w:r>
      <w:r w:rsidRPr="007C0F42">
        <w:rPr>
          <w:rStyle w:val="apple-converted-space"/>
          <w:rFonts w:cs="Arial"/>
          <w:color w:val="333333"/>
          <w:szCs w:val="16"/>
          <w:shd w:val="clear" w:color="auto" w:fill="FFFFFF"/>
        </w:rPr>
        <w:t> </w:t>
      </w:r>
      <w:r w:rsidRPr="007C0F42">
        <w:rPr>
          <w:rStyle w:val="Emphasis"/>
          <w:rFonts w:cs="Arial"/>
          <w:color w:val="333333"/>
          <w:szCs w:val="16"/>
          <w:bdr w:val="none" w:sz="0" w:space="0" w:color="auto" w:frame="1"/>
          <w:shd w:val="clear" w:color="auto" w:fill="FFFFFF"/>
        </w:rPr>
        <w:t>Family Matters</w:t>
      </w:r>
      <w:r w:rsidRPr="007C0F42">
        <w:rPr>
          <w:rFonts w:cs="Arial"/>
          <w:color w:val="333333"/>
          <w:szCs w:val="16"/>
          <w:shd w:val="clear" w:color="auto" w:fill="FFFFFF"/>
        </w:rPr>
        <w:t>, No. 89, Australian Institute of Family Studies, 2011.</w:t>
      </w:r>
    </w:p>
  </w:footnote>
  <w:footnote w:id="109">
    <w:p w14:paraId="7F06A993" w14:textId="4058364D" w:rsidR="00D02193" w:rsidRPr="007C0F42" w:rsidRDefault="00D02193" w:rsidP="00561000">
      <w:pPr>
        <w:spacing w:before="0" w:after="0" w:line="240" w:lineRule="auto"/>
        <w:rPr>
          <w:sz w:val="16"/>
          <w:szCs w:val="16"/>
        </w:rPr>
      </w:pPr>
      <w:r w:rsidRPr="007C0F42">
        <w:rPr>
          <w:rStyle w:val="FootnoteReference"/>
          <w:sz w:val="16"/>
          <w:szCs w:val="16"/>
        </w:rPr>
        <w:footnoteRef/>
      </w:r>
      <w:r w:rsidRPr="007C0F42">
        <w:rPr>
          <w:sz w:val="16"/>
          <w:szCs w:val="16"/>
        </w:rPr>
        <w:t xml:space="preserve"> P Mendes, S </w:t>
      </w:r>
      <w:proofErr w:type="spellStart"/>
      <w:r w:rsidRPr="007C0F42">
        <w:rPr>
          <w:sz w:val="16"/>
          <w:szCs w:val="16"/>
        </w:rPr>
        <w:t>Baidawi</w:t>
      </w:r>
      <w:proofErr w:type="spellEnd"/>
      <w:r w:rsidRPr="007C0F42">
        <w:rPr>
          <w:sz w:val="16"/>
          <w:szCs w:val="16"/>
        </w:rPr>
        <w:t xml:space="preserve">, and P.C Snow, </w:t>
      </w:r>
      <w:r w:rsidRPr="007C0F42">
        <w:rPr>
          <w:i/>
          <w:sz w:val="16"/>
          <w:szCs w:val="16"/>
        </w:rPr>
        <w:t>Good Practice in Reducing the Over-Representation of Care Leavers in the Youth Justice System. Leaving Care and Youth Justice – Phase Three Report</w:t>
      </w:r>
      <w:r w:rsidRPr="007C0F42">
        <w:rPr>
          <w:sz w:val="16"/>
          <w:szCs w:val="16"/>
        </w:rPr>
        <w:t>, Melbourne, Monash University, 2014.</w:t>
      </w:r>
    </w:p>
  </w:footnote>
  <w:footnote w:id="110">
    <w:p w14:paraId="1B55459C" w14:textId="0D3D93C7" w:rsidR="00D02193" w:rsidRPr="00561000" w:rsidRDefault="00D02193" w:rsidP="00561000">
      <w:pPr>
        <w:spacing w:before="0" w:after="0" w:line="240" w:lineRule="auto"/>
        <w:rPr>
          <w:sz w:val="16"/>
          <w:szCs w:val="16"/>
        </w:rPr>
      </w:pPr>
      <w:r w:rsidRPr="00561000">
        <w:rPr>
          <w:rStyle w:val="FootnoteReference"/>
          <w:sz w:val="16"/>
          <w:szCs w:val="16"/>
        </w:rPr>
        <w:footnoteRef/>
      </w:r>
      <w:r w:rsidRPr="00561000">
        <w:rPr>
          <w:rStyle w:val="apple-converted-space"/>
          <w:rFonts w:ascii="PTSans-Italic" w:hAnsi="PTSans-Italic"/>
          <w:i/>
          <w:iCs/>
          <w:color w:val="706A6A"/>
          <w:sz w:val="16"/>
          <w:szCs w:val="16"/>
          <w:bdr w:val="none" w:sz="0" w:space="0" w:color="auto" w:frame="1"/>
          <w:shd w:val="clear" w:color="auto" w:fill="F1F2F2"/>
        </w:rPr>
        <w:t> </w:t>
      </w:r>
      <w:r w:rsidRPr="00561000">
        <w:rPr>
          <w:sz w:val="16"/>
          <w:szCs w:val="16"/>
        </w:rPr>
        <w:t>Anglicare Victoria,</w:t>
      </w:r>
      <w:r w:rsidRPr="00561000">
        <w:rPr>
          <w:rStyle w:val="Emphasis"/>
          <w:i w:val="0"/>
          <w:sz w:val="16"/>
          <w:szCs w:val="16"/>
          <w:bdr w:val="none" w:sz="0" w:space="0" w:color="auto" w:frame="1"/>
          <w:shd w:val="clear" w:color="auto" w:fill="F1F2F2"/>
        </w:rPr>
        <w:t xml:space="preserve"> </w:t>
      </w:r>
      <w:r w:rsidRPr="008F1628">
        <w:rPr>
          <w:i/>
          <w:sz w:val="16"/>
          <w:szCs w:val="16"/>
          <w:shd w:val="clear" w:color="auto" w:fill="FFFFFF"/>
        </w:rPr>
        <w:t>The Home Stretch Campaign</w:t>
      </w:r>
      <w:r w:rsidRPr="00561000">
        <w:rPr>
          <w:sz w:val="16"/>
          <w:szCs w:val="16"/>
          <w:shd w:val="clear" w:color="auto" w:fill="FFFFFF"/>
        </w:rPr>
        <w:t>, http://thehomestretch.org.au/about/, accessed 21 February 2017.</w:t>
      </w:r>
    </w:p>
  </w:footnote>
  <w:footnote w:id="111">
    <w:p w14:paraId="48EA9387" w14:textId="77777777" w:rsidR="00D02193" w:rsidRPr="00561000" w:rsidRDefault="00D02193" w:rsidP="00561000">
      <w:pPr>
        <w:pStyle w:val="Default"/>
        <w:rPr>
          <w:rFonts w:ascii="Arial" w:hAnsi="Arial" w:cs="Arial"/>
          <w:sz w:val="16"/>
          <w:szCs w:val="16"/>
        </w:rPr>
      </w:pPr>
      <w:r w:rsidRPr="00561000">
        <w:rPr>
          <w:rStyle w:val="FootnoteReference"/>
          <w:rFonts w:ascii="Arial" w:hAnsi="Arial" w:cs="Arial"/>
          <w:sz w:val="16"/>
          <w:szCs w:val="16"/>
        </w:rPr>
        <w:footnoteRef/>
      </w:r>
      <w:r w:rsidRPr="00561000">
        <w:rPr>
          <w:rFonts w:ascii="Arial" w:hAnsi="Arial" w:cs="Arial"/>
          <w:sz w:val="16"/>
          <w:szCs w:val="16"/>
        </w:rPr>
        <w:t xml:space="preserve"> </w:t>
      </w:r>
      <w:r w:rsidRPr="00561000">
        <w:rPr>
          <w:rFonts w:ascii="Arial" w:hAnsi="Arial" w:cs="Arial"/>
          <w:color w:val="auto"/>
          <w:sz w:val="16"/>
          <w:szCs w:val="16"/>
        </w:rPr>
        <w:t xml:space="preserve">Australian Institute of Health and Welfare, </w:t>
      </w:r>
      <w:r w:rsidRPr="00561000">
        <w:rPr>
          <w:rFonts w:ascii="Arial" w:hAnsi="Arial" w:cs="Arial"/>
          <w:i/>
          <w:iCs/>
          <w:color w:val="auto"/>
          <w:sz w:val="16"/>
          <w:szCs w:val="16"/>
        </w:rPr>
        <w:t>Youth justice in Australia 2014–15, Bulletin 133</w:t>
      </w:r>
      <w:r w:rsidRPr="00561000">
        <w:rPr>
          <w:rFonts w:ascii="Arial" w:hAnsi="Arial" w:cs="Arial"/>
          <w:color w:val="auto"/>
          <w:sz w:val="16"/>
          <w:szCs w:val="16"/>
        </w:rPr>
        <w:t>, AIHW, April 2016.</w:t>
      </w:r>
    </w:p>
  </w:footnote>
  <w:footnote w:id="112">
    <w:p w14:paraId="6A2A877E" w14:textId="77777777" w:rsidR="00D02193" w:rsidRPr="00561000" w:rsidRDefault="00D02193" w:rsidP="00561000">
      <w:pPr>
        <w:spacing w:before="0" w:after="0" w:line="240" w:lineRule="auto"/>
        <w:rPr>
          <w:sz w:val="16"/>
          <w:szCs w:val="16"/>
        </w:rPr>
      </w:pPr>
      <w:r w:rsidRPr="00561000">
        <w:rPr>
          <w:rStyle w:val="FootnoteReference"/>
          <w:sz w:val="16"/>
          <w:szCs w:val="16"/>
        </w:rPr>
        <w:footnoteRef/>
      </w:r>
      <w:r w:rsidRPr="00561000">
        <w:rPr>
          <w:sz w:val="16"/>
          <w:szCs w:val="16"/>
        </w:rPr>
        <w:t xml:space="preserve"> M Ericson and T Vinson, </w:t>
      </w:r>
      <w:r w:rsidRPr="008F1628">
        <w:rPr>
          <w:i/>
          <w:sz w:val="16"/>
          <w:szCs w:val="16"/>
        </w:rPr>
        <w:t>Young people on remand in Victoria: Balancing individual and community interests</w:t>
      </w:r>
      <w:r w:rsidRPr="00561000">
        <w:rPr>
          <w:sz w:val="16"/>
          <w:szCs w:val="16"/>
        </w:rPr>
        <w:t>, Jesuit Social Services, Richmond, 2010.</w:t>
      </w:r>
    </w:p>
  </w:footnote>
  <w:footnote w:id="113">
    <w:p w14:paraId="6B78C712" w14:textId="77777777" w:rsidR="00D02193" w:rsidRPr="00561000" w:rsidRDefault="00D02193" w:rsidP="00561000">
      <w:pPr>
        <w:pStyle w:val="FootnoteText"/>
        <w:rPr>
          <w:szCs w:val="16"/>
          <w:lang w:val="en-US"/>
        </w:rPr>
      </w:pPr>
      <w:r w:rsidRPr="00561000">
        <w:rPr>
          <w:rStyle w:val="FootnoteReference"/>
          <w:szCs w:val="16"/>
        </w:rPr>
        <w:footnoteRef/>
      </w:r>
      <w:r w:rsidRPr="00561000">
        <w:rPr>
          <w:szCs w:val="16"/>
        </w:rPr>
        <w:t xml:space="preserve"> Smart Justice for Young People</w:t>
      </w:r>
      <w:r w:rsidRPr="00561000">
        <w:rPr>
          <w:i/>
          <w:iCs/>
          <w:szCs w:val="16"/>
        </w:rPr>
        <w:t>, Intro to Justice Reinvestment</w:t>
      </w:r>
      <w:r w:rsidRPr="00561000">
        <w:rPr>
          <w:szCs w:val="16"/>
        </w:rPr>
        <w:t xml:space="preserve">, </w:t>
      </w:r>
      <w:hyperlink r:id="rId15" w:history="1">
        <w:r w:rsidRPr="00561000">
          <w:rPr>
            <w:rStyle w:val="Hyperlink"/>
            <w:sz w:val="16"/>
            <w:szCs w:val="16"/>
          </w:rPr>
          <w:t>http://youthlaw.asn.au/campaigns-advocacy/justice-reinvestment-home/intro-to-justice-reinvenstment/</w:t>
        </w:r>
      </w:hyperlink>
      <w:r w:rsidRPr="00561000">
        <w:rPr>
          <w:szCs w:val="16"/>
        </w:rPr>
        <w:t xml:space="preserve">, accessed 16 December 2016. </w:t>
      </w:r>
    </w:p>
  </w:footnote>
  <w:footnote w:id="114">
    <w:p w14:paraId="1379DDC0" w14:textId="77777777" w:rsidR="00D02193" w:rsidRPr="00561000" w:rsidRDefault="00D02193" w:rsidP="00561000">
      <w:pPr>
        <w:pStyle w:val="FootnoteText"/>
        <w:rPr>
          <w:szCs w:val="16"/>
          <w:lang w:val="en-US"/>
        </w:rPr>
      </w:pPr>
      <w:r w:rsidRPr="00561000">
        <w:rPr>
          <w:rStyle w:val="FootnoteReference"/>
          <w:szCs w:val="16"/>
        </w:rPr>
        <w:footnoteRef/>
      </w:r>
      <w:r w:rsidRPr="00561000">
        <w:rPr>
          <w:szCs w:val="16"/>
        </w:rPr>
        <w:t xml:space="preserve"> Smart Justice for Young People</w:t>
      </w:r>
      <w:r w:rsidRPr="00561000">
        <w:rPr>
          <w:i/>
          <w:iCs/>
          <w:szCs w:val="16"/>
        </w:rPr>
        <w:t>, Intro to Justice Reinvestment</w:t>
      </w:r>
      <w:r w:rsidRPr="00561000">
        <w:rPr>
          <w:szCs w:val="16"/>
        </w:rPr>
        <w:t xml:space="preserve">, </w:t>
      </w:r>
      <w:hyperlink r:id="rId16" w:history="1">
        <w:r w:rsidRPr="00561000">
          <w:rPr>
            <w:rStyle w:val="Hyperlink"/>
            <w:sz w:val="16"/>
            <w:szCs w:val="16"/>
          </w:rPr>
          <w:t>http://youthlaw.asn.au/campaigns-advocacy/justice-reinvestment-home/intro-to-justice-reinvenstment/</w:t>
        </w:r>
      </w:hyperlink>
      <w:r w:rsidRPr="00561000">
        <w:rPr>
          <w:szCs w:val="16"/>
        </w:rPr>
        <w:t xml:space="preserve">, accessed 16 December 2016. </w:t>
      </w:r>
    </w:p>
  </w:footnote>
  <w:footnote w:id="115">
    <w:p w14:paraId="453CCAEB" w14:textId="77777777" w:rsidR="00D02193" w:rsidRPr="00561000" w:rsidRDefault="00D02193" w:rsidP="00561000">
      <w:pPr>
        <w:pStyle w:val="FootnoteText"/>
        <w:rPr>
          <w:szCs w:val="16"/>
        </w:rPr>
      </w:pPr>
      <w:r w:rsidRPr="00561000">
        <w:rPr>
          <w:rStyle w:val="FootnoteReference"/>
          <w:szCs w:val="16"/>
        </w:rPr>
        <w:footnoteRef/>
      </w:r>
      <w:r w:rsidRPr="00561000">
        <w:rPr>
          <w:szCs w:val="16"/>
        </w:rPr>
        <w:t xml:space="preserve"> D Brown, ‘</w:t>
      </w:r>
      <w:hyperlink r:id="rId17" w:history="1">
        <w:r w:rsidRPr="00561000">
          <w:rPr>
            <w:rStyle w:val="Hyperlink"/>
            <w:sz w:val="16"/>
            <w:szCs w:val="16"/>
          </w:rPr>
          <w:t>Justice reinvestment: the circuit breaker?’</w:t>
        </w:r>
      </w:hyperlink>
      <w:proofErr w:type="gramStart"/>
      <w:r w:rsidRPr="00561000">
        <w:rPr>
          <w:szCs w:val="16"/>
        </w:rPr>
        <w:t>,</w:t>
      </w:r>
      <w:proofErr w:type="gramEnd"/>
      <w:r w:rsidRPr="00561000">
        <w:rPr>
          <w:szCs w:val="16"/>
        </w:rPr>
        <w:t xml:space="preserve"> </w:t>
      </w:r>
      <w:r w:rsidRPr="00561000">
        <w:rPr>
          <w:i/>
          <w:iCs/>
          <w:szCs w:val="16"/>
        </w:rPr>
        <w:t>Insight 8: Crime and Justice</w:t>
      </w:r>
      <w:r w:rsidRPr="00561000">
        <w:rPr>
          <w:szCs w:val="16"/>
        </w:rPr>
        <w:t xml:space="preserve">, VCOSS, 2013. </w:t>
      </w:r>
    </w:p>
  </w:footnote>
  <w:footnote w:id="116">
    <w:p w14:paraId="48416DBD" w14:textId="77777777" w:rsidR="00D02193" w:rsidRPr="00561000" w:rsidRDefault="00D02193" w:rsidP="00561000">
      <w:pPr>
        <w:pStyle w:val="FootnoteText"/>
        <w:rPr>
          <w:szCs w:val="16"/>
          <w:lang w:val="en-US"/>
        </w:rPr>
      </w:pPr>
      <w:r w:rsidRPr="00561000">
        <w:rPr>
          <w:rStyle w:val="FootnoteReference"/>
          <w:szCs w:val="16"/>
        </w:rPr>
        <w:footnoteRef/>
      </w:r>
      <w:r w:rsidRPr="00561000">
        <w:rPr>
          <w:szCs w:val="16"/>
        </w:rPr>
        <w:t xml:space="preserve"> Smart Justice for Young People</w:t>
      </w:r>
      <w:r w:rsidRPr="00561000">
        <w:rPr>
          <w:i/>
          <w:iCs/>
          <w:szCs w:val="16"/>
        </w:rPr>
        <w:t>, Intro to Justice Reinvestment</w:t>
      </w:r>
      <w:r w:rsidRPr="00561000">
        <w:rPr>
          <w:szCs w:val="16"/>
        </w:rPr>
        <w:t xml:space="preserve">, </w:t>
      </w:r>
      <w:hyperlink r:id="rId18" w:history="1">
        <w:r w:rsidRPr="00561000">
          <w:rPr>
            <w:rStyle w:val="Hyperlink"/>
            <w:sz w:val="16"/>
            <w:szCs w:val="16"/>
          </w:rPr>
          <w:t>http://youthlaw.asn.au/campaigns-advocacy/justice-reinvestment-home/intro-to-justice-reinvenstment/</w:t>
        </w:r>
      </w:hyperlink>
      <w:r w:rsidRPr="00561000">
        <w:rPr>
          <w:szCs w:val="16"/>
        </w:rPr>
        <w:t xml:space="preserve">, accessed 16 December 2016. </w:t>
      </w:r>
    </w:p>
  </w:footnote>
  <w:footnote w:id="117">
    <w:p w14:paraId="111BD9BC" w14:textId="77777777" w:rsidR="00D02193" w:rsidRPr="0041538D" w:rsidRDefault="00D02193" w:rsidP="00561000">
      <w:pPr>
        <w:pStyle w:val="FootnoteText"/>
      </w:pPr>
      <w:r w:rsidRPr="00561000">
        <w:rPr>
          <w:rStyle w:val="FootnoteReference"/>
          <w:szCs w:val="16"/>
        </w:rPr>
        <w:footnoteRef/>
      </w:r>
      <w:r w:rsidRPr="00561000">
        <w:rPr>
          <w:szCs w:val="16"/>
        </w:rPr>
        <w:t xml:space="preserve"> A </w:t>
      </w:r>
      <w:proofErr w:type="spellStart"/>
      <w:r w:rsidRPr="00561000">
        <w:rPr>
          <w:szCs w:val="16"/>
        </w:rPr>
        <w:t>Bratanova</w:t>
      </w:r>
      <w:proofErr w:type="spellEnd"/>
      <w:r w:rsidRPr="00561000">
        <w:rPr>
          <w:szCs w:val="16"/>
        </w:rPr>
        <w:t xml:space="preserve"> and J Robinson, </w:t>
      </w:r>
      <w:r w:rsidRPr="00561000">
        <w:rPr>
          <w:i/>
          <w:iCs/>
          <w:szCs w:val="16"/>
        </w:rPr>
        <w:t>Cost effectiveness analysis of a ‘justice reinvestment’ approach to Queensland’s youth justice services</w:t>
      </w:r>
      <w:r w:rsidRPr="00561000">
        <w:rPr>
          <w:szCs w:val="16"/>
        </w:rPr>
        <w:t>, November 2014.</w:t>
      </w:r>
      <w:r>
        <w:t xml:space="preserve"> </w:t>
      </w:r>
    </w:p>
  </w:footnote>
  <w:footnote w:id="118">
    <w:p w14:paraId="4833DED3" w14:textId="7F12934F" w:rsidR="00D02193" w:rsidRPr="00C60678" w:rsidRDefault="00D02193" w:rsidP="00EE70B0">
      <w:pPr>
        <w:pStyle w:val="FootnoteText"/>
        <w:rPr>
          <w:szCs w:val="16"/>
        </w:rPr>
      </w:pPr>
      <w:r w:rsidRPr="00C60678">
        <w:rPr>
          <w:rStyle w:val="FootnoteReference"/>
          <w:szCs w:val="16"/>
        </w:rPr>
        <w:footnoteRef/>
      </w:r>
      <w:r w:rsidRPr="00C60678">
        <w:rPr>
          <w:szCs w:val="16"/>
        </w:rPr>
        <w:t xml:space="preserve"> Just Reinvest NSW, </w:t>
      </w:r>
      <w:r w:rsidRPr="00C60678">
        <w:rPr>
          <w:i/>
          <w:iCs/>
          <w:szCs w:val="16"/>
        </w:rPr>
        <w:t>Justice Reinvestment in Bourke</w:t>
      </w:r>
      <w:r w:rsidRPr="00C60678">
        <w:rPr>
          <w:szCs w:val="16"/>
        </w:rPr>
        <w:t xml:space="preserve">, http://www.justreinvest.org.au/justice-reinvestment-in-bourke/, accessed 5 January 2017. </w:t>
      </w:r>
    </w:p>
  </w:footnote>
  <w:footnote w:id="119">
    <w:p w14:paraId="747CAE40" w14:textId="77777777" w:rsidR="00D02193" w:rsidRPr="00C60678" w:rsidRDefault="00D02193" w:rsidP="00190D41">
      <w:pPr>
        <w:pStyle w:val="FootnoteText"/>
        <w:rPr>
          <w:szCs w:val="16"/>
        </w:rPr>
      </w:pPr>
      <w:r w:rsidRPr="00C60678">
        <w:rPr>
          <w:rStyle w:val="FootnoteReference"/>
          <w:szCs w:val="16"/>
        </w:rPr>
        <w:footnoteRef/>
      </w:r>
      <w:r w:rsidRPr="00C60678">
        <w:rPr>
          <w:szCs w:val="16"/>
        </w:rPr>
        <w:t xml:space="preserve"> Office of Communities, </w:t>
      </w:r>
      <w:hyperlink r:id="rId19" w:history="1">
        <w:r w:rsidRPr="00C60678">
          <w:rPr>
            <w:rStyle w:val="Hyperlink"/>
            <w:i/>
            <w:iCs/>
            <w:sz w:val="16"/>
            <w:szCs w:val="16"/>
          </w:rPr>
          <w:t>Community Portrait, Bourke: A portrait of the Aboriginal community of Bourke, compared with NSW, from the 2011 and earlier Censuses</w:t>
        </w:r>
        <w:r w:rsidRPr="00C60678">
          <w:rPr>
            <w:rStyle w:val="Hyperlink"/>
            <w:sz w:val="16"/>
            <w:szCs w:val="16"/>
          </w:rPr>
          <w:t>,</w:t>
        </w:r>
      </w:hyperlink>
      <w:r w:rsidRPr="00C60678">
        <w:rPr>
          <w:szCs w:val="16"/>
        </w:rPr>
        <w:t xml:space="preserve"> Aboriginal Affairs NSW Government, August 2013. </w:t>
      </w:r>
    </w:p>
  </w:footnote>
  <w:footnote w:id="120">
    <w:p w14:paraId="6E35CCDA" w14:textId="2BAFE115" w:rsidR="00D02193" w:rsidRPr="00C60678" w:rsidRDefault="00D02193" w:rsidP="00190D41">
      <w:pPr>
        <w:pStyle w:val="FootnoteText"/>
        <w:rPr>
          <w:szCs w:val="16"/>
        </w:rPr>
      </w:pPr>
      <w:r w:rsidRPr="00C60678">
        <w:rPr>
          <w:rStyle w:val="FootnoteReference"/>
          <w:szCs w:val="16"/>
        </w:rPr>
        <w:footnoteRef/>
      </w:r>
      <w:r w:rsidRPr="00C60678">
        <w:rPr>
          <w:szCs w:val="16"/>
        </w:rPr>
        <w:t xml:space="preserve"> Jesuit Social Services, </w:t>
      </w:r>
      <w:r>
        <w:rPr>
          <w:i/>
          <w:szCs w:val="16"/>
        </w:rPr>
        <w:t>Dropping off the Edge 2015, ‘</w:t>
      </w:r>
      <w:r w:rsidRPr="00C60678">
        <w:rPr>
          <w:i/>
          <w:szCs w:val="16"/>
        </w:rPr>
        <w:t>Bourke’</w:t>
      </w:r>
      <w:r w:rsidRPr="00C60678">
        <w:rPr>
          <w:szCs w:val="16"/>
        </w:rPr>
        <w:t>,</w:t>
      </w:r>
      <w:r w:rsidRPr="008F1628">
        <w:t xml:space="preserve"> </w:t>
      </w:r>
      <w:hyperlink r:id="rId20" w:history="1">
        <w:r w:rsidRPr="00066E5B">
          <w:rPr>
            <w:rStyle w:val="Hyperlink"/>
            <w:sz w:val="16"/>
            <w:szCs w:val="16"/>
          </w:rPr>
          <w:t>https://dote.org.au/map/</w:t>
        </w:r>
      </w:hyperlink>
      <w:r>
        <w:rPr>
          <w:szCs w:val="16"/>
        </w:rPr>
        <w:t>,</w:t>
      </w:r>
      <w:r w:rsidRPr="00C60678">
        <w:rPr>
          <w:szCs w:val="16"/>
        </w:rPr>
        <w:t xml:space="preserve">  accessed 11 January 2017, </w:t>
      </w:r>
    </w:p>
  </w:footnote>
  <w:footnote w:id="121">
    <w:p w14:paraId="2AAE395F" w14:textId="77777777" w:rsidR="00D02193" w:rsidRPr="00C60678" w:rsidRDefault="00D02193" w:rsidP="00C7451B">
      <w:pPr>
        <w:pStyle w:val="FootnoteText"/>
        <w:rPr>
          <w:szCs w:val="16"/>
        </w:rPr>
      </w:pPr>
      <w:r w:rsidRPr="00C60678">
        <w:rPr>
          <w:rStyle w:val="FootnoteReference"/>
          <w:szCs w:val="16"/>
        </w:rPr>
        <w:footnoteRef/>
      </w:r>
      <w:r w:rsidRPr="00C60678">
        <w:rPr>
          <w:szCs w:val="16"/>
        </w:rPr>
        <w:t xml:space="preserve"> Just Reinvest NSW, </w:t>
      </w:r>
      <w:r w:rsidRPr="00C60678">
        <w:rPr>
          <w:i/>
          <w:iCs/>
          <w:szCs w:val="16"/>
        </w:rPr>
        <w:t>Justice Reinvestment in Bourke</w:t>
      </w:r>
      <w:r w:rsidRPr="00C60678">
        <w:rPr>
          <w:szCs w:val="16"/>
        </w:rPr>
        <w:t>, http://www.justreinvest.org.au/justice-reinvestment-in-bourke</w:t>
      </w:r>
      <w:proofErr w:type="gramStart"/>
      <w:r w:rsidRPr="00C60678">
        <w:rPr>
          <w:szCs w:val="16"/>
        </w:rPr>
        <w:t>/ ,</w:t>
      </w:r>
      <w:proofErr w:type="gramEnd"/>
      <w:r w:rsidRPr="00C60678">
        <w:rPr>
          <w:szCs w:val="16"/>
        </w:rPr>
        <w:t xml:space="preserve"> accessed 5 January 2017. </w:t>
      </w:r>
    </w:p>
  </w:footnote>
  <w:footnote w:id="122">
    <w:p w14:paraId="48AE43DE" w14:textId="77777777" w:rsidR="00D02193" w:rsidRPr="00C60678" w:rsidRDefault="00D02193" w:rsidP="00664F3C">
      <w:pPr>
        <w:pStyle w:val="Default"/>
        <w:rPr>
          <w:rFonts w:ascii="Arial" w:hAnsi="Arial" w:cs="Arial"/>
          <w:sz w:val="16"/>
          <w:szCs w:val="16"/>
        </w:rPr>
      </w:pPr>
      <w:r w:rsidRPr="00C60678">
        <w:rPr>
          <w:rStyle w:val="FootnoteReference"/>
          <w:rFonts w:ascii="Arial" w:hAnsi="Arial" w:cs="Arial"/>
          <w:sz w:val="16"/>
          <w:szCs w:val="16"/>
        </w:rPr>
        <w:footnoteRef/>
      </w:r>
      <w:r w:rsidRPr="00C60678">
        <w:rPr>
          <w:rFonts w:ascii="Arial" w:hAnsi="Arial" w:cs="Arial"/>
          <w:sz w:val="16"/>
          <w:szCs w:val="16"/>
        </w:rPr>
        <w:t xml:space="preserve"> </w:t>
      </w:r>
      <w:r w:rsidRPr="00C60678">
        <w:rPr>
          <w:rFonts w:ascii="Arial" w:hAnsi="Arial" w:cs="Arial"/>
          <w:color w:val="auto"/>
          <w:sz w:val="16"/>
          <w:szCs w:val="16"/>
        </w:rPr>
        <w:t xml:space="preserve">Australian Institute of Health and Welfare, </w:t>
      </w:r>
      <w:r w:rsidRPr="00C60678">
        <w:rPr>
          <w:rFonts w:ascii="Arial" w:hAnsi="Arial" w:cs="Arial"/>
          <w:i/>
          <w:iCs/>
          <w:color w:val="auto"/>
          <w:sz w:val="16"/>
          <w:szCs w:val="16"/>
        </w:rPr>
        <w:t>Youth justice in Australia 2014–15, Bulletin 133</w:t>
      </w:r>
      <w:r w:rsidRPr="00C60678">
        <w:rPr>
          <w:rFonts w:ascii="Arial" w:hAnsi="Arial" w:cs="Arial"/>
          <w:color w:val="auto"/>
          <w:sz w:val="16"/>
          <w:szCs w:val="16"/>
        </w:rPr>
        <w:t>, AIHW, April 2016.</w:t>
      </w:r>
    </w:p>
  </w:footnote>
  <w:footnote w:id="123">
    <w:p w14:paraId="676FC696" w14:textId="232D6394" w:rsidR="00D02193" w:rsidRDefault="00D02193">
      <w:pPr>
        <w:pStyle w:val="FootnoteText"/>
      </w:pPr>
      <w:r w:rsidRPr="00C60678">
        <w:rPr>
          <w:rStyle w:val="FootnoteReference"/>
          <w:szCs w:val="16"/>
        </w:rPr>
        <w:footnoteRef/>
      </w:r>
      <w:r w:rsidRPr="00C60678">
        <w:rPr>
          <w:szCs w:val="16"/>
        </w:rPr>
        <w:t xml:space="preserve"> The Age, </w:t>
      </w:r>
      <w:r w:rsidRPr="008F1628">
        <w:rPr>
          <w:i/>
          <w:szCs w:val="16"/>
        </w:rPr>
        <w:t>Victoria youth crime: Statistics raise questions about calls to deport youth offenders</w:t>
      </w:r>
      <w:r>
        <w:rPr>
          <w:szCs w:val="16"/>
        </w:rPr>
        <w:t>,</w:t>
      </w:r>
      <w:hyperlink r:id="rId21" w:history="1">
        <w:r w:rsidRPr="00C60678">
          <w:rPr>
            <w:rStyle w:val="Hyperlink"/>
            <w:sz w:val="16"/>
            <w:szCs w:val="16"/>
          </w:rPr>
          <w:t>http://www.abc.net.au/news/2016-12-04/statistics-raise-questions-about-calls-to-deport-youth-offenders/8087410</w:t>
        </w:r>
      </w:hyperlink>
    </w:p>
  </w:footnote>
  <w:footnote w:id="124">
    <w:p w14:paraId="3D215BB1" w14:textId="15250170" w:rsidR="00D02193" w:rsidRPr="00561000" w:rsidRDefault="00D02193" w:rsidP="00561000">
      <w:pPr>
        <w:spacing w:before="0" w:after="0" w:line="240" w:lineRule="auto"/>
        <w:rPr>
          <w:sz w:val="16"/>
          <w:szCs w:val="16"/>
        </w:rPr>
      </w:pPr>
      <w:r w:rsidRPr="00561000">
        <w:rPr>
          <w:rStyle w:val="FootnoteReference"/>
          <w:rFonts w:eastAsiaTheme="minorHAnsi" w:cstheme="minorBidi"/>
          <w:lang w:val="en-AU"/>
        </w:rPr>
        <w:footnoteRef/>
      </w:r>
      <w:r w:rsidRPr="00561000">
        <w:rPr>
          <w:sz w:val="16"/>
          <w:szCs w:val="16"/>
        </w:rPr>
        <w:t xml:space="preserve"> L Bartels, </w:t>
      </w:r>
      <w:r w:rsidRPr="008F1628">
        <w:rPr>
          <w:i/>
          <w:sz w:val="16"/>
          <w:szCs w:val="16"/>
        </w:rPr>
        <w:t>Crime prevention programs for culturally and linguistically diverse communities in Australia</w:t>
      </w:r>
      <w:r w:rsidRPr="00561000">
        <w:rPr>
          <w:sz w:val="16"/>
          <w:szCs w:val="16"/>
        </w:rPr>
        <w:t>, Australian Institute of Criminology, Research in practice no.18, 2011.</w:t>
      </w:r>
    </w:p>
  </w:footnote>
  <w:footnote w:id="125">
    <w:p w14:paraId="16486F3B" w14:textId="77777777" w:rsidR="00D02193" w:rsidRPr="00561000" w:rsidRDefault="00D02193" w:rsidP="00561000">
      <w:pPr>
        <w:spacing w:before="0" w:after="0" w:line="240" w:lineRule="auto"/>
      </w:pPr>
      <w:r w:rsidRPr="00561000">
        <w:rPr>
          <w:rStyle w:val="FootnoteReference"/>
          <w:rFonts w:eastAsiaTheme="minorHAnsi" w:cstheme="minorBidi"/>
          <w:lang w:val="en-AU"/>
        </w:rPr>
        <w:footnoteRef/>
      </w:r>
      <w:r w:rsidRPr="00561000">
        <w:rPr>
          <w:rStyle w:val="FootnoteReference"/>
          <w:rFonts w:eastAsiaTheme="minorHAnsi" w:cstheme="minorBidi"/>
          <w:lang w:val="en-AU"/>
        </w:rPr>
        <w:t xml:space="preserve"> </w:t>
      </w:r>
      <w:r w:rsidRPr="00561000">
        <w:rPr>
          <w:sz w:val="16"/>
          <w:szCs w:val="16"/>
        </w:rPr>
        <w:t xml:space="preserve">L Bartels, </w:t>
      </w:r>
      <w:r w:rsidRPr="008F1628">
        <w:rPr>
          <w:i/>
          <w:sz w:val="16"/>
          <w:szCs w:val="16"/>
        </w:rPr>
        <w:t>Crime prevention programs for culturally and linguistically diverse communities in Australia</w:t>
      </w:r>
      <w:r w:rsidRPr="00561000">
        <w:rPr>
          <w:sz w:val="16"/>
          <w:szCs w:val="16"/>
        </w:rPr>
        <w:t>, Australian Institute of Criminology, Research in practice no.18, 2011.</w:t>
      </w:r>
    </w:p>
  </w:footnote>
  <w:footnote w:id="126">
    <w:p w14:paraId="0424BE3F" w14:textId="307F6F50" w:rsidR="00D02193" w:rsidRPr="00561000" w:rsidRDefault="00D02193" w:rsidP="00561000">
      <w:pPr>
        <w:spacing w:before="0" w:after="0" w:line="240" w:lineRule="auto"/>
        <w:rPr>
          <w:sz w:val="16"/>
          <w:szCs w:val="16"/>
        </w:rPr>
      </w:pPr>
      <w:r w:rsidRPr="00561000">
        <w:rPr>
          <w:rStyle w:val="FootnoteReference"/>
          <w:sz w:val="16"/>
          <w:szCs w:val="16"/>
        </w:rPr>
        <w:footnoteRef/>
      </w:r>
      <w:r w:rsidRPr="00561000">
        <w:rPr>
          <w:sz w:val="16"/>
          <w:szCs w:val="16"/>
        </w:rPr>
        <w:t xml:space="preserve"> </w:t>
      </w:r>
      <w:r w:rsidRPr="00561000">
        <w:rPr>
          <w:sz w:val="16"/>
          <w:szCs w:val="16"/>
          <w:lang w:val="en-AU"/>
        </w:rPr>
        <w:t xml:space="preserve">Helen </w:t>
      </w:r>
      <w:proofErr w:type="spellStart"/>
      <w:r w:rsidRPr="00561000">
        <w:rPr>
          <w:sz w:val="16"/>
          <w:szCs w:val="16"/>
          <w:lang w:val="en-AU"/>
        </w:rPr>
        <w:t>Fatouros</w:t>
      </w:r>
      <w:proofErr w:type="spellEnd"/>
      <w:r w:rsidRPr="00561000">
        <w:rPr>
          <w:sz w:val="16"/>
          <w:szCs w:val="16"/>
          <w:lang w:val="en-AU"/>
        </w:rPr>
        <w:t xml:space="preserve">, </w:t>
      </w:r>
      <w:r w:rsidRPr="00561000">
        <w:rPr>
          <w:i/>
          <w:sz w:val="16"/>
          <w:szCs w:val="16"/>
          <w:lang w:val="en-AU"/>
        </w:rPr>
        <w:t>Is our youth justice system really broker?</w:t>
      </w:r>
      <w:r w:rsidRPr="00561000">
        <w:rPr>
          <w:sz w:val="16"/>
          <w:szCs w:val="16"/>
          <w:lang w:val="en-AU"/>
        </w:rPr>
        <w:t xml:space="preserve"> </w:t>
      </w:r>
      <w:proofErr w:type="spellStart"/>
      <w:r w:rsidRPr="00561000">
        <w:rPr>
          <w:sz w:val="16"/>
          <w:szCs w:val="16"/>
          <w:lang w:val="en-AU"/>
        </w:rPr>
        <w:t>Castan</w:t>
      </w:r>
      <w:proofErr w:type="spellEnd"/>
      <w:r w:rsidRPr="00561000">
        <w:rPr>
          <w:sz w:val="16"/>
          <w:szCs w:val="16"/>
          <w:lang w:val="en-AU"/>
        </w:rPr>
        <w:t xml:space="preserve"> Centre for Human Rights Law </w:t>
      </w:r>
      <w:proofErr w:type="spellStart"/>
      <w:r w:rsidRPr="00561000">
        <w:rPr>
          <w:sz w:val="16"/>
          <w:szCs w:val="16"/>
          <w:lang w:val="en-AU"/>
        </w:rPr>
        <w:t>Conferene</w:t>
      </w:r>
      <w:proofErr w:type="spellEnd"/>
      <w:r w:rsidRPr="00561000">
        <w:rPr>
          <w:sz w:val="16"/>
          <w:szCs w:val="16"/>
          <w:lang w:val="en-AU"/>
        </w:rPr>
        <w:t>, Vic Legal Aid, 22 July 2016.</w:t>
      </w:r>
    </w:p>
  </w:footnote>
  <w:footnote w:id="127">
    <w:p w14:paraId="5E302AE2" w14:textId="77777777" w:rsidR="00D02193" w:rsidRPr="00561000" w:rsidRDefault="00D02193" w:rsidP="00561000">
      <w:pPr>
        <w:pStyle w:val="FootnoteText"/>
        <w:rPr>
          <w:rFonts w:cs="Arial"/>
          <w:szCs w:val="16"/>
        </w:rPr>
      </w:pPr>
      <w:r w:rsidRPr="00561000">
        <w:rPr>
          <w:rStyle w:val="FootnoteReference"/>
          <w:rFonts w:cs="Arial"/>
          <w:szCs w:val="16"/>
        </w:rPr>
        <w:footnoteRef/>
      </w:r>
      <w:r w:rsidRPr="00561000">
        <w:rPr>
          <w:rFonts w:cs="Arial"/>
          <w:szCs w:val="16"/>
        </w:rPr>
        <w:t xml:space="preserve"> M Grossman and J </w:t>
      </w:r>
      <w:proofErr w:type="spellStart"/>
      <w:r w:rsidRPr="00561000">
        <w:rPr>
          <w:rFonts w:cs="Arial"/>
          <w:szCs w:val="16"/>
        </w:rPr>
        <w:t>Sharples</w:t>
      </w:r>
      <w:proofErr w:type="spellEnd"/>
      <w:r w:rsidRPr="00561000">
        <w:rPr>
          <w:rFonts w:cs="Arial"/>
          <w:szCs w:val="16"/>
        </w:rPr>
        <w:t xml:space="preserve">, </w:t>
      </w:r>
      <w:hyperlink r:id="rId22" w:history="1">
        <w:r w:rsidRPr="00561000">
          <w:rPr>
            <w:rStyle w:val="Hyperlink"/>
            <w:rFonts w:cs="Arial"/>
            <w:sz w:val="16"/>
            <w:szCs w:val="16"/>
          </w:rPr>
          <w:t>D</w:t>
        </w:r>
        <w:r w:rsidRPr="00561000">
          <w:rPr>
            <w:rStyle w:val="Hyperlink"/>
            <w:rFonts w:cs="Arial"/>
            <w:i/>
            <w:sz w:val="16"/>
            <w:szCs w:val="16"/>
          </w:rPr>
          <w:t>on’t go there: young people’s perspectives on community safety and policing: a collaborative research project with Victoria police, region 2 (Westgate)</w:t>
        </w:r>
      </w:hyperlink>
      <w:r w:rsidRPr="00561000">
        <w:rPr>
          <w:rFonts w:cs="Arial"/>
          <w:szCs w:val="16"/>
        </w:rPr>
        <w:t>, Victorian University, 2010.</w:t>
      </w:r>
    </w:p>
  </w:footnote>
  <w:footnote w:id="128">
    <w:p w14:paraId="67FCEB5D" w14:textId="77777777" w:rsidR="00D02193" w:rsidRPr="00561000" w:rsidRDefault="00D02193" w:rsidP="00561000">
      <w:pPr>
        <w:pStyle w:val="FootnoteText"/>
        <w:rPr>
          <w:rFonts w:cs="Arial"/>
          <w:szCs w:val="16"/>
        </w:rPr>
      </w:pPr>
      <w:r w:rsidRPr="00561000">
        <w:rPr>
          <w:rStyle w:val="FootnoteReference"/>
          <w:rFonts w:cs="Arial"/>
          <w:szCs w:val="16"/>
        </w:rPr>
        <w:footnoteRef/>
      </w:r>
      <w:r w:rsidRPr="00561000">
        <w:rPr>
          <w:rFonts w:cs="Arial"/>
          <w:szCs w:val="16"/>
        </w:rPr>
        <w:t xml:space="preserve"> Noetic Solutions Pty Limited, </w:t>
      </w:r>
      <w:r w:rsidRPr="00F000E3">
        <w:rPr>
          <w:rFonts w:cs="Arial"/>
          <w:i/>
          <w:szCs w:val="16"/>
        </w:rPr>
        <w:t>Review of Effective Practice in Juvenile Justice</w:t>
      </w:r>
      <w:r w:rsidRPr="00561000">
        <w:rPr>
          <w:rFonts w:cs="Arial"/>
          <w:szCs w:val="16"/>
        </w:rPr>
        <w:t xml:space="preserve">, Report for the Minister for Juvenile Justice, January 2010. </w:t>
      </w:r>
    </w:p>
  </w:footnote>
  <w:footnote w:id="129">
    <w:p w14:paraId="3594C5EF" w14:textId="77777777" w:rsidR="00D02193" w:rsidRPr="00561000" w:rsidRDefault="00D02193" w:rsidP="00561000">
      <w:pPr>
        <w:pStyle w:val="FootnoteText"/>
        <w:rPr>
          <w:rFonts w:cs="Arial"/>
          <w:szCs w:val="16"/>
        </w:rPr>
      </w:pPr>
      <w:r w:rsidRPr="00561000">
        <w:rPr>
          <w:rStyle w:val="FootnoteReference"/>
          <w:rFonts w:cs="Arial"/>
          <w:szCs w:val="16"/>
        </w:rPr>
        <w:footnoteRef/>
      </w:r>
      <w:r w:rsidRPr="00561000">
        <w:rPr>
          <w:rFonts w:cs="Arial"/>
          <w:szCs w:val="16"/>
        </w:rPr>
        <w:t xml:space="preserve"> J Stewart, B </w:t>
      </w:r>
      <w:proofErr w:type="spellStart"/>
      <w:r w:rsidRPr="00561000">
        <w:rPr>
          <w:rFonts w:cs="Arial"/>
          <w:szCs w:val="16"/>
        </w:rPr>
        <w:t>Hedwards</w:t>
      </w:r>
      <w:proofErr w:type="spellEnd"/>
      <w:r w:rsidRPr="00561000">
        <w:rPr>
          <w:rFonts w:cs="Arial"/>
          <w:szCs w:val="16"/>
        </w:rPr>
        <w:t xml:space="preserve">, K Richards, M Willis and D Higgins, </w:t>
      </w:r>
      <w:r w:rsidRPr="00561000">
        <w:rPr>
          <w:rFonts w:cs="Arial"/>
          <w:i/>
          <w:szCs w:val="16"/>
        </w:rPr>
        <w:t>Indigenous Youth Justice Programs Evaluation</w:t>
      </w:r>
      <w:r w:rsidRPr="00561000">
        <w:rPr>
          <w:rFonts w:cs="Arial"/>
          <w:szCs w:val="16"/>
        </w:rPr>
        <w:t xml:space="preserve">, Australian Institute of Criminology, 2014.  </w:t>
      </w:r>
    </w:p>
  </w:footnote>
  <w:footnote w:id="130">
    <w:p w14:paraId="21639755" w14:textId="77777777" w:rsidR="00D02193" w:rsidRPr="00561000" w:rsidRDefault="00D02193" w:rsidP="00561000">
      <w:pPr>
        <w:pStyle w:val="FootnoteText"/>
        <w:rPr>
          <w:rFonts w:cs="Arial"/>
          <w:szCs w:val="16"/>
        </w:rPr>
      </w:pPr>
      <w:r w:rsidRPr="00561000">
        <w:rPr>
          <w:rStyle w:val="FootnoteReference"/>
          <w:rFonts w:cs="Arial"/>
          <w:szCs w:val="16"/>
        </w:rPr>
        <w:footnoteRef/>
      </w:r>
      <w:r w:rsidRPr="00561000">
        <w:rPr>
          <w:rFonts w:cs="Arial"/>
          <w:szCs w:val="16"/>
        </w:rPr>
        <w:t xml:space="preserve"> Commission for Children and Young People, </w:t>
      </w:r>
      <w:r w:rsidRPr="00C93A62">
        <w:rPr>
          <w:rFonts w:cs="Arial"/>
          <w:i/>
          <w:szCs w:val="16"/>
        </w:rPr>
        <w:t>Always was always will be Koori children: Systemic inquiry into services provided to Aboriginal children and young people in out-of-home care in Victoria</w:t>
      </w:r>
      <w:r w:rsidRPr="00561000">
        <w:rPr>
          <w:rFonts w:cs="Arial"/>
          <w:szCs w:val="16"/>
        </w:rPr>
        <w:t>, 2016, p.18.</w:t>
      </w:r>
    </w:p>
  </w:footnote>
  <w:footnote w:id="131">
    <w:p w14:paraId="3787FA9F" w14:textId="77777777" w:rsidR="00D02193" w:rsidRDefault="00D02193" w:rsidP="000C28B8">
      <w:pPr>
        <w:pStyle w:val="FootnoteText"/>
      </w:pPr>
      <w:r>
        <w:rPr>
          <w:rStyle w:val="FootnoteReference"/>
        </w:rPr>
        <w:footnoteRef/>
      </w:r>
      <w:r>
        <w:t xml:space="preserve"> Youth Affairs Council of Victoria, </w:t>
      </w:r>
      <w:r w:rsidRPr="007F77F3">
        <w:rPr>
          <w:i/>
        </w:rPr>
        <w:t>Inquiry into Youth Justice Centres in Victoria, A submission to the inquiry by the Standing Committee on Legal and Social Issues, Parliament of Victoria</w:t>
      </w:r>
      <w:r>
        <w:t>, March 2017.</w:t>
      </w:r>
    </w:p>
  </w:footnote>
  <w:footnote w:id="132">
    <w:p w14:paraId="7E0C348A" w14:textId="21BDAE37" w:rsidR="00D02193" w:rsidRDefault="00D02193" w:rsidP="00561000">
      <w:pPr>
        <w:pStyle w:val="FootnoteText"/>
      </w:pPr>
      <w:r w:rsidRPr="00561000">
        <w:rPr>
          <w:rStyle w:val="FootnoteReference"/>
          <w:rFonts w:cs="Arial"/>
          <w:szCs w:val="16"/>
        </w:rPr>
        <w:footnoteRef/>
      </w:r>
      <w:r w:rsidRPr="00561000">
        <w:rPr>
          <w:rFonts w:cs="Arial"/>
          <w:szCs w:val="16"/>
        </w:rPr>
        <w:t xml:space="preserve"> </w:t>
      </w:r>
      <w:r w:rsidRPr="00561000">
        <w:rPr>
          <w:rStyle w:val="Emphasis"/>
          <w:rFonts w:cs="Arial"/>
          <w:i w:val="0"/>
          <w:color w:val="1D1D1D"/>
          <w:szCs w:val="16"/>
          <w:bdr w:val="none" w:sz="0" w:space="0" w:color="auto" w:frame="1"/>
        </w:rPr>
        <w:t>Liz Poole,</w:t>
      </w:r>
      <w:r w:rsidRPr="00561000">
        <w:rPr>
          <w:rFonts w:cs="Arial"/>
          <w:szCs w:val="16"/>
        </w:rPr>
        <w:t xml:space="preserve"> </w:t>
      </w:r>
      <w:r w:rsidRPr="00F000E3">
        <w:rPr>
          <w:rFonts w:cs="Arial"/>
          <w:i/>
          <w:szCs w:val="16"/>
        </w:rPr>
        <w:t>Helping Aboriginal children stay out of the justice system</w:t>
      </w:r>
      <w:r w:rsidRPr="00561000">
        <w:rPr>
          <w:rFonts w:cs="Arial"/>
          <w:szCs w:val="16"/>
        </w:rPr>
        <w:t xml:space="preserve">, Jesuit Social Services, </w:t>
      </w:r>
      <w:r w:rsidRPr="00561000">
        <w:rPr>
          <w:rFonts w:cs="Arial"/>
          <w:color w:val="1D1D1D"/>
          <w:szCs w:val="16"/>
        </w:rPr>
        <w:t xml:space="preserve">June 2016, </w:t>
      </w:r>
      <w:hyperlink r:id="rId23" w:history="1">
        <w:r w:rsidRPr="00066E5B">
          <w:rPr>
            <w:rStyle w:val="Hyperlink"/>
            <w:rFonts w:cs="Arial"/>
            <w:sz w:val="16"/>
            <w:szCs w:val="16"/>
          </w:rPr>
          <w:t>https://jss.org.au/helping-aboriginal-children-stay-out-of-the-justice-system/</w:t>
        </w:r>
      </w:hyperlink>
      <w:r>
        <w:rPr>
          <w:rFonts w:cs="Arial"/>
          <w:szCs w:val="16"/>
        </w:rPr>
        <w:t>, accessed 3 February 2017.</w:t>
      </w:r>
      <w:r>
        <w:rPr>
          <w:rFonts w:ascii="Raleway" w:hAnsi="Raleway"/>
          <w:color w:val="1D1D1D"/>
          <w:sz w:val="20"/>
        </w:rPr>
        <w:t xml:space="preserve"> </w:t>
      </w:r>
    </w:p>
  </w:footnote>
  <w:footnote w:id="133">
    <w:p w14:paraId="35488AA8" w14:textId="77777777" w:rsidR="00D02193" w:rsidRPr="00561000" w:rsidRDefault="00D02193" w:rsidP="00664F3C">
      <w:pPr>
        <w:pStyle w:val="FootnoteText"/>
        <w:rPr>
          <w:szCs w:val="16"/>
        </w:rPr>
      </w:pPr>
      <w:r w:rsidRPr="00561000">
        <w:rPr>
          <w:rStyle w:val="FootnoteReference"/>
          <w:szCs w:val="16"/>
        </w:rPr>
        <w:footnoteRef/>
      </w:r>
      <w:r w:rsidRPr="00561000">
        <w:rPr>
          <w:szCs w:val="16"/>
        </w:rPr>
        <w:t xml:space="preserve"> Jesuit Social Services, </w:t>
      </w:r>
      <w:r w:rsidRPr="00561000">
        <w:rPr>
          <w:i/>
          <w:szCs w:val="16"/>
        </w:rPr>
        <w:t>Submission to the Commission for Children and Young People’s Inquiry into the use of isolation, separation and lockdowns in youth justice centres</w:t>
      </w:r>
      <w:r w:rsidRPr="00561000">
        <w:rPr>
          <w:szCs w:val="16"/>
        </w:rPr>
        <w:t>, November 2016.</w:t>
      </w:r>
    </w:p>
  </w:footnote>
  <w:footnote w:id="134">
    <w:p w14:paraId="5514616A" w14:textId="77777777" w:rsidR="00D02193" w:rsidRPr="00561000" w:rsidRDefault="00D02193" w:rsidP="008B49ED">
      <w:pPr>
        <w:spacing w:before="0" w:after="0" w:line="240" w:lineRule="auto"/>
        <w:rPr>
          <w:sz w:val="16"/>
          <w:szCs w:val="16"/>
        </w:rPr>
      </w:pPr>
      <w:r w:rsidRPr="00561000">
        <w:rPr>
          <w:rStyle w:val="FootnoteReference"/>
          <w:sz w:val="16"/>
          <w:szCs w:val="16"/>
        </w:rPr>
        <w:footnoteRef/>
      </w:r>
      <w:r w:rsidRPr="00561000">
        <w:rPr>
          <w:sz w:val="16"/>
          <w:szCs w:val="16"/>
        </w:rPr>
        <w:t xml:space="preserve"> A Roy, B McGill and L </w:t>
      </w:r>
      <w:proofErr w:type="spellStart"/>
      <w:r w:rsidRPr="00561000">
        <w:rPr>
          <w:sz w:val="16"/>
          <w:szCs w:val="16"/>
        </w:rPr>
        <w:t>Fenn</w:t>
      </w:r>
      <w:proofErr w:type="spellEnd"/>
      <w:r w:rsidRPr="00561000">
        <w:rPr>
          <w:sz w:val="16"/>
          <w:szCs w:val="16"/>
        </w:rPr>
        <w:t xml:space="preserve">, </w:t>
      </w:r>
      <w:r w:rsidRPr="00561000">
        <w:rPr>
          <w:i/>
          <w:iCs/>
          <w:sz w:val="16"/>
          <w:szCs w:val="16"/>
        </w:rPr>
        <w:t>Children &amp; young people with complex needs in the ACT youth justice system: Criminal justice responses to mental health conditions, cognitive disability, drug &amp; alcohol disorders, and childhood trauma</w:t>
      </w:r>
      <w:r w:rsidRPr="00561000">
        <w:rPr>
          <w:sz w:val="16"/>
          <w:szCs w:val="16"/>
        </w:rPr>
        <w:t xml:space="preserve">, Office of the ACT Children &amp; Young People Commissioner, March 2010, Page 33. </w:t>
      </w:r>
    </w:p>
  </w:footnote>
  <w:footnote w:id="135">
    <w:p w14:paraId="09E9FDD9" w14:textId="77777777" w:rsidR="00D02193" w:rsidRPr="00561000" w:rsidRDefault="00D02193" w:rsidP="008B49ED">
      <w:pPr>
        <w:pStyle w:val="FootnoteText"/>
        <w:rPr>
          <w:szCs w:val="16"/>
        </w:rPr>
      </w:pPr>
      <w:r w:rsidRPr="00561000">
        <w:rPr>
          <w:rStyle w:val="FootnoteReference"/>
          <w:szCs w:val="16"/>
        </w:rPr>
        <w:footnoteRef/>
      </w:r>
      <w:r w:rsidRPr="00561000">
        <w:rPr>
          <w:szCs w:val="16"/>
        </w:rPr>
        <w:t xml:space="preserve"> Youth Support and Advocacy Service (YSAS) and Youth Drug and Alcohol Advice service (</w:t>
      </w:r>
      <w:proofErr w:type="spellStart"/>
      <w:r w:rsidRPr="00561000">
        <w:rPr>
          <w:szCs w:val="16"/>
        </w:rPr>
        <w:t>YoDAA</w:t>
      </w:r>
      <w:proofErr w:type="spellEnd"/>
      <w:r w:rsidRPr="00561000">
        <w:rPr>
          <w:szCs w:val="16"/>
        </w:rPr>
        <w:t xml:space="preserve">), </w:t>
      </w:r>
      <w:r w:rsidRPr="00F000E3">
        <w:rPr>
          <w:i/>
          <w:szCs w:val="16"/>
        </w:rPr>
        <w:t>The Victorian Youth Alcohol and Other Drug Service System: A vision realised</w:t>
      </w:r>
      <w:r w:rsidRPr="00561000">
        <w:rPr>
          <w:szCs w:val="16"/>
        </w:rPr>
        <w:t xml:space="preserve">, October 2013. </w:t>
      </w:r>
    </w:p>
  </w:footnote>
  <w:footnote w:id="136">
    <w:p w14:paraId="5DCD2568" w14:textId="04D13F23" w:rsidR="00D02193" w:rsidRDefault="00D02193" w:rsidP="008E07F9">
      <w:pPr>
        <w:pStyle w:val="FootnoteText"/>
      </w:pPr>
      <w:r w:rsidRPr="00561000">
        <w:rPr>
          <w:rStyle w:val="FootnoteReference"/>
          <w:szCs w:val="16"/>
        </w:rPr>
        <w:footnoteRef/>
      </w:r>
      <w:r w:rsidRPr="00561000">
        <w:rPr>
          <w:szCs w:val="16"/>
        </w:rPr>
        <w:t xml:space="preserve"> Victoria Legal Aid, </w:t>
      </w:r>
      <w:r w:rsidRPr="00F000E3">
        <w:rPr>
          <w:i/>
          <w:szCs w:val="16"/>
        </w:rPr>
        <w:t>Is our youth justice system really broken?</w:t>
      </w:r>
      <w:proofErr w:type="gramStart"/>
      <w:r w:rsidRPr="00561000">
        <w:rPr>
          <w:szCs w:val="16"/>
        </w:rPr>
        <w:t>,</w:t>
      </w:r>
      <w:proofErr w:type="spellStart"/>
      <w:r w:rsidRPr="00561000">
        <w:rPr>
          <w:szCs w:val="16"/>
        </w:rPr>
        <w:t>Castan</w:t>
      </w:r>
      <w:proofErr w:type="spellEnd"/>
      <w:proofErr w:type="gramEnd"/>
      <w:r w:rsidRPr="00561000">
        <w:rPr>
          <w:szCs w:val="16"/>
        </w:rPr>
        <w:t xml:space="preserve"> Centre for Human Rights Law Conference, 22 July 2016.</w:t>
      </w:r>
    </w:p>
  </w:footnote>
  <w:footnote w:id="137">
    <w:p w14:paraId="76F99E3F" w14:textId="2FDA0C82" w:rsidR="00D02193" w:rsidRDefault="00D02193" w:rsidP="00A72408">
      <w:pPr>
        <w:pStyle w:val="FootnoteText"/>
      </w:pPr>
      <w:r>
        <w:rPr>
          <w:rStyle w:val="FootnoteReference"/>
        </w:rPr>
        <w:footnoteRef/>
      </w:r>
      <w:r>
        <w:t xml:space="preserve"> J </w:t>
      </w:r>
      <w:r w:rsidRPr="00A72408">
        <w:t>Hancock</w:t>
      </w:r>
      <w:r w:rsidRPr="00A72408">
        <w:rPr>
          <w:i/>
        </w:rPr>
        <w:t xml:space="preserve"> 'Nowhere near enough' youth workers to address issues behind Victoria's teen crime problem</w:t>
      </w:r>
      <w:r>
        <w:t xml:space="preserve">, ABC News, 2 February 2017, </w:t>
      </w:r>
      <w:r w:rsidRPr="00A72408">
        <w:t>http://www.abc.net.au/news/2017-02-03/more-youth-workers-urged-to-tackle-victorias-teen-crime/8236908</w:t>
      </w:r>
    </w:p>
  </w:footnote>
  <w:footnote w:id="138">
    <w:p w14:paraId="51C11E80" w14:textId="23261F6E" w:rsidR="00D02193" w:rsidRPr="00561000" w:rsidRDefault="00D02193" w:rsidP="00155F13">
      <w:pPr>
        <w:pStyle w:val="FootnoteText"/>
        <w:rPr>
          <w:szCs w:val="16"/>
          <w:vertAlign w:val="superscript"/>
        </w:rPr>
      </w:pPr>
      <w:r w:rsidRPr="00561000">
        <w:rPr>
          <w:rStyle w:val="FootnoteReference"/>
          <w:szCs w:val="16"/>
        </w:rPr>
        <w:footnoteRef/>
      </w:r>
      <w:r w:rsidRPr="00561000">
        <w:rPr>
          <w:szCs w:val="16"/>
        </w:rPr>
        <w:t xml:space="preserve"> </w:t>
      </w:r>
      <w:r w:rsidRPr="00561000">
        <w:rPr>
          <w:rStyle w:val="apple-converted-space"/>
          <w:rFonts w:cs="Arial"/>
          <w:color w:val="333333"/>
          <w:szCs w:val="16"/>
          <w:shd w:val="clear" w:color="auto" w:fill="FFFFFF"/>
        </w:rPr>
        <w:t> </w:t>
      </w:r>
      <w:r w:rsidRPr="00561000">
        <w:rPr>
          <w:rFonts w:cs="Arial"/>
          <w:color w:val="333333"/>
          <w:szCs w:val="16"/>
          <w:shd w:val="clear" w:color="auto" w:fill="FFFFFF"/>
        </w:rPr>
        <w:t xml:space="preserve">Smart Justice for Young People, </w:t>
      </w:r>
      <w:hyperlink r:id="rId24" w:history="1">
        <w:r w:rsidRPr="00C93A62">
          <w:rPr>
            <w:rStyle w:val="Hyperlink"/>
            <w:rFonts w:cs="Arial"/>
            <w:i/>
            <w:sz w:val="16"/>
            <w:szCs w:val="16"/>
            <w:shd w:val="clear" w:color="auto" w:fill="FFFFFF"/>
          </w:rPr>
          <w:t>Youth diversion factshe</w:t>
        </w:r>
        <w:r w:rsidRPr="00C93A62">
          <w:rPr>
            <w:rStyle w:val="Hyperlink"/>
            <w:rFonts w:cs="Arial"/>
            <w:sz w:val="16"/>
            <w:szCs w:val="16"/>
            <w:shd w:val="clear" w:color="auto" w:fill="FFFFFF"/>
          </w:rPr>
          <w:t>et</w:t>
        </w:r>
      </w:hyperlink>
      <w:r w:rsidRPr="00561000">
        <w:rPr>
          <w:rFonts w:cs="Arial"/>
          <w:color w:val="333333"/>
          <w:szCs w:val="16"/>
          <w:shd w:val="clear" w:color="auto" w:fill="FFFFFF"/>
        </w:rPr>
        <w:t>, July 2014.</w:t>
      </w:r>
    </w:p>
  </w:footnote>
  <w:footnote w:id="139">
    <w:p w14:paraId="69687CD2" w14:textId="77777777" w:rsidR="00D02193" w:rsidRPr="00561000" w:rsidRDefault="00D02193" w:rsidP="00515417">
      <w:pPr>
        <w:pStyle w:val="FootnoteText"/>
        <w:rPr>
          <w:szCs w:val="16"/>
          <w:vertAlign w:val="superscript"/>
        </w:rPr>
      </w:pPr>
      <w:r w:rsidRPr="00561000">
        <w:rPr>
          <w:rStyle w:val="FootnoteReference"/>
          <w:szCs w:val="16"/>
        </w:rPr>
        <w:footnoteRef/>
      </w:r>
      <w:r w:rsidRPr="00561000">
        <w:rPr>
          <w:szCs w:val="16"/>
        </w:rPr>
        <w:t xml:space="preserve"> </w:t>
      </w:r>
      <w:r w:rsidRPr="00561000">
        <w:rPr>
          <w:rStyle w:val="apple-converted-space"/>
          <w:rFonts w:cs="Arial"/>
          <w:color w:val="333333"/>
          <w:szCs w:val="16"/>
          <w:shd w:val="clear" w:color="auto" w:fill="FFFFFF"/>
        </w:rPr>
        <w:t> </w:t>
      </w:r>
      <w:r w:rsidRPr="00561000">
        <w:rPr>
          <w:rFonts w:cs="Arial"/>
          <w:color w:val="333333"/>
          <w:szCs w:val="16"/>
          <w:shd w:val="clear" w:color="auto" w:fill="FFFFFF"/>
        </w:rPr>
        <w:t xml:space="preserve">Smart Justice for Young People, </w:t>
      </w:r>
      <w:hyperlink r:id="rId25" w:history="1">
        <w:r w:rsidRPr="00F000E3">
          <w:rPr>
            <w:rStyle w:val="Hyperlink"/>
            <w:rFonts w:cs="Arial"/>
            <w:i/>
            <w:sz w:val="16"/>
            <w:szCs w:val="16"/>
            <w:shd w:val="clear" w:color="auto" w:fill="FFFFFF"/>
          </w:rPr>
          <w:t>Youth diversion factsheet</w:t>
        </w:r>
      </w:hyperlink>
      <w:r w:rsidRPr="00561000">
        <w:rPr>
          <w:rFonts w:cs="Arial"/>
          <w:color w:val="333333"/>
          <w:szCs w:val="16"/>
          <w:shd w:val="clear" w:color="auto" w:fill="FFFFFF"/>
        </w:rPr>
        <w:t>, July 2014.</w:t>
      </w:r>
    </w:p>
  </w:footnote>
  <w:footnote w:id="140">
    <w:p w14:paraId="660DD376" w14:textId="77777777" w:rsidR="00D02193" w:rsidRPr="00561000" w:rsidRDefault="00D02193" w:rsidP="00F4393F">
      <w:pPr>
        <w:pStyle w:val="FootnoteText"/>
        <w:rPr>
          <w:szCs w:val="16"/>
          <w:vertAlign w:val="superscript"/>
        </w:rPr>
      </w:pPr>
      <w:r w:rsidRPr="00561000">
        <w:rPr>
          <w:rStyle w:val="FootnoteReference"/>
          <w:szCs w:val="16"/>
        </w:rPr>
        <w:footnoteRef/>
      </w:r>
      <w:r w:rsidRPr="00561000">
        <w:rPr>
          <w:szCs w:val="16"/>
        </w:rPr>
        <w:t xml:space="preserve"> </w:t>
      </w:r>
      <w:r w:rsidRPr="00561000">
        <w:rPr>
          <w:rStyle w:val="apple-converted-space"/>
          <w:rFonts w:cs="Arial"/>
          <w:color w:val="333333"/>
          <w:szCs w:val="16"/>
          <w:shd w:val="clear" w:color="auto" w:fill="FFFFFF"/>
        </w:rPr>
        <w:t> </w:t>
      </w:r>
      <w:r w:rsidRPr="00561000">
        <w:rPr>
          <w:rFonts w:cs="Arial"/>
          <w:color w:val="333333"/>
          <w:szCs w:val="16"/>
          <w:shd w:val="clear" w:color="auto" w:fill="FFFFFF"/>
        </w:rPr>
        <w:t xml:space="preserve">Smart Justice for Young People, </w:t>
      </w:r>
      <w:hyperlink r:id="rId26" w:history="1">
        <w:r w:rsidRPr="00F000E3">
          <w:rPr>
            <w:rStyle w:val="Hyperlink"/>
            <w:rFonts w:cs="Arial"/>
            <w:i/>
            <w:sz w:val="16"/>
            <w:szCs w:val="16"/>
            <w:shd w:val="clear" w:color="auto" w:fill="FFFFFF"/>
          </w:rPr>
          <w:t>Youth diversion factsheet</w:t>
        </w:r>
      </w:hyperlink>
      <w:r w:rsidRPr="00561000">
        <w:rPr>
          <w:rFonts w:cs="Arial"/>
          <w:color w:val="333333"/>
          <w:szCs w:val="16"/>
          <w:shd w:val="clear" w:color="auto" w:fill="FFFFFF"/>
        </w:rPr>
        <w:t>, July 2014.</w:t>
      </w:r>
    </w:p>
  </w:footnote>
  <w:footnote w:id="141">
    <w:p w14:paraId="038A77C4" w14:textId="430BFFAB" w:rsidR="00D02193" w:rsidRPr="00561000" w:rsidRDefault="00D02193" w:rsidP="00030B54">
      <w:pPr>
        <w:pStyle w:val="FootnoteText"/>
        <w:rPr>
          <w:szCs w:val="16"/>
        </w:rPr>
      </w:pPr>
      <w:r w:rsidRPr="00561000">
        <w:rPr>
          <w:rStyle w:val="FootnoteReference"/>
          <w:szCs w:val="16"/>
        </w:rPr>
        <w:footnoteRef/>
      </w:r>
      <w:r w:rsidRPr="00561000">
        <w:rPr>
          <w:szCs w:val="16"/>
        </w:rPr>
        <w:t xml:space="preserve"> Smart Justice for Young People, </w:t>
      </w:r>
      <w:hyperlink r:id="rId27" w:history="1">
        <w:r w:rsidRPr="00F000E3">
          <w:rPr>
            <w:rStyle w:val="Hyperlink"/>
            <w:sz w:val="16"/>
            <w:szCs w:val="16"/>
          </w:rPr>
          <w:t>Youth Diversion makes sense factsheet</w:t>
        </w:r>
      </w:hyperlink>
      <w:r w:rsidRPr="00561000">
        <w:rPr>
          <w:szCs w:val="16"/>
        </w:rPr>
        <w:t xml:space="preserve">, </w:t>
      </w:r>
      <w:r>
        <w:rPr>
          <w:szCs w:val="16"/>
        </w:rPr>
        <w:t>November 2014.</w:t>
      </w:r>
    </w:p>
  </w:footnote>
  <w:footnote w:id="142">
    <w:p w14:paraId="0001BCAB" w14:textId="6E2EE247" w:rsidR="00D02193" w:rsidRDefault="00D02193" w:rsidP="00F000E3">
      <w:pPr>
        <w:pStyle w:val="Heading2"/>
        <w:spacing w:before="0" w:after="0"/>
        <w:textAlignment w:val="baseline"/>
      </w:pPr>
      <w:r w:rsidRPr="00561000">
        <w:rPr>
          <w:rStyle w:val="FootnoteReference"/>
          <w:rFonts w:eastAsiaTheme="minorHAnsi" w:cstheme="minorBidi"/>
          <w:b w:val="0"/>
          <w:bCs w:val="0"/>
          <w:color w:val="auto"/>
          <w:sz w:val="16"/>
          <w:szCs w:val="16"/>
          <w:lang w:val="en-AU"/>
        </w:rPr>
        <w:footnoteRef/>
      </w:r>
      <w:r w:rsidRPr="00561000">
        <w:rPr>
          <w:sz w:val="16"/>
          <w:szCs w:val="16"/>
        </w:rPr>
        <w:t xml:space="preserve"> </w:t>
      </w:r>
      <w:r w:rsidRPr="00561000">
        <w:rPr>
          <w:rFonts w:eastAsiaTheme="minorHAnsi" w:cstheme="minorBidi"/>
          <w:b w:val="0"/>
          <w:bCs w:val="0"/>
          <w:color w:val="auto"/>
          <w:sz w:val="16"/>
          <w:szCs w:val="16"/>
          <w:lang w:val="en-AU"/>
        </w:rPr>
        <w:t xml:space="preserve">Jesuit Social Services, </w:t>
      </w:r>
      <w:r w:rsidRPr="00F000E3">
        <w:rPr>
          <w:rFonts w:eastAsiaTheme="minorHAnsi" w:cstheme="minorBidi"/>
          <w:b w:val="0"/>
          <w:bCs w:val="0"/>
          <w:i/>
          <w:color w:val="auto"/>
          <w:sz w:val="16"/>
          <w:szCs w:val="16"/>
          <w:lang w:val="en-AU"/>
        </w:rPr>
        <w:t>What is Youth Justice Group Conferencing</w:t>
      </w:r>
      <w:proofErr w:type="gramStart"/>
      <w:r w:rsidRPr="00F000E3">
        <w:rPr>
          <w:rFonts w:eastAsiaTheme="minorHAnsi" w:cstheme="minorBidi"/>
          <w:b w:val="0"/>
          <w:bCs w:val="0"/>
          <w:i/>
          <w:color w:val="auto"/>
          <w:sz w:val="16"/>
          <w:szCs w:val="16"/>
          <w:lang w:val="en-AU"/>
        </w:rPr>
        <w:t>?,</w:t>
      </w:r>
      <w:proofErr w:type="gramEnd"/>
      <w:r w:rsidRPr="00561000">
        <w:rPr>
          <w:rFonts w:eastAsiaTheme="minorHAnsi" w:cstheme="minorBidi"/>
          <w:b w:val="0"/>
          <w:bCs w:val="0"/>
          <w:color w:val="auto"/>
          <w:sz w:val="16"/>
          <w:szCs w:val="16"/>
          <w:lang w:val="en-AU"/>
        </w:rPr>
        <w:t xml:space="preserve"> </w:t>
      </w:r>
      <w:hyperlink r:id="rId28" w:history="1">
        <w:r w:rsidRPr="00561000">
          <w:rPr>
            <w:rStyle w:val="Hyperlink"/>
            <w:rFonts w:eastAsiaTheme="minorHAnsi" w:cstheme="minorBidi"/>
            <w:b w:val="0"/>
            <w:sz w:val="16"/>
            <w:szCs w:val="16"/>
            <w:lang w:val="en-AU"/>
          </w:rPr>
          <w:t>https://jss.org.au/what-we-do/justice-and-crime-prevention/youth-justice-group-conferencing/</w:t>
        </w:r>
      </w:hyperlink>
      <w:r w:rsidRPr="00561000">
        <w:rPr>
          <w:rFonts w:eastAsiaTheme="minorHAnsi" w:cstheme="minorBidi"/>
          <w:b w:val="0"/>
          <w:bCs w:val="0"/>
          <w:color w:val="auto"/>
          <w:sz w:val="16"/>
          <w:szCs w:val="16"/>
          <w:lang w:val="en-AU"/>
        </w:rPr>
        <w:t>, accessed 21 February 2017</w:t>
      </w:r>
      <w:r>
        <w:rPr>
          <w:rFonts w:eastAsiaTheme="minorHAnsi" w:cstheme="minorBidi"/>
          <w:b w:val="0"/>
          <w:bCs w:val="0"/>
          <w:color w:val="auto"/>
          <w:sz w:val="16"/>
          <w:szCs w:val="16"/>
          <w:lang w:val="en-AU"/>
        </w:rPr>
        <w:t>.</w:t>
      </w:r>
    </w:p>
  </w:footnote>
  <w:footnote w:id="143">
    <w:p w14:paraId="2B9A8960" w14:textId="77777777" w:rsidR="00D02193" w:rsidRPr="00561000" w:rsidRDefault="00D02193" w:rsidP="00F000E3">
      <w:pPr>
        <w:pStyle w:val="FootnoteText"/>
        <w:rPr>
          <w:rFonts w:cs="Arial"/>
          <w:szCs w:val="16"/>
        </w:rPr>
      </w:pPr>
      <w:r w:rsidRPr="00561000">
        <w:rPr>
          <w:rStyle w:val="FootnoteReference"/>
          <w:rFonts w:cs="Arial"/>
          <w:szCs w:val="16"/>
        </w:rPr>
        <w:footnoteRef/>
      </w:r>
      <w:r w:rsidRPr="00561000">
        <w:rPr>
          <w:rFonts w:cs="Arial"/>
          <w:szCs w:val="16"/>
        </w:rPr>
        <w:t xml:space="preserve"> KPMG, </w:t>
      </w:r>
      <w:r w:rsidRPr="00F000E3">
        <w:rPr>
          <w:rFonts w:cs="Arial"/>
          <w:i/>
          <w:szCs w:val="16"/>
        </w:rPr>
        <w:t>Review of the Youth Justice Group Conferencing Program – Final report</w:t>
      </w:r>
      <w:r w:rsidRPr="00561000">
        <w:rPr>
          <w:rFonts w:cs="Arial"/>
          <w:szCs w:val="16"/>
        </w:rPr>
        <w:t>, Department of Human Services, September 2010, Melbourne, Victoria.</w:t>
      </w:r>
    </w:p>
  </w:footnote>
  <w:footnote w:id="144">
    <w:p w14:paraId="130218DE" w14:textId="77777777" w:rsidR="00D02193" w:rsidRPr="00561000" w:rsidRDefault="00D02193" w:rsidP="0099380D">
      <w:pPr>
        <w:pStyle w:val="FootnoteText"/>
        <w:rPr>
          <w:szCs w:val="16"/>
        </w:rPr>
      </w:pPr>
      <w:r w:rsidRPr="00561000">
        <w:rPr>
          <w:rStyle w:val="FootnoteReference"/>
          <w:szCs w:val="16"/>
        </w:rPr>
        <w:footnoteRef/>
      </w:r>
      <w:r w:rsidRPr="00561000">
        <w:rPr>
          <w:szCs w:val="16"/>
        </w:rPr>
        <w:t xml:space="preserve"> Smart Justice for Young People, </w:t>
      </w:r>
      <w:hyperlink r:id="rId29" w:history="1">
        <w:r w:rsidRPr="00C93A62">
          <w:rPr>
            <w:rStyle w:val="Hyperlink"/>
            <w:i/>
            <w:sz w:val="16"/>
            <w:szCs w:val="16"/>
          </w:rPr>
          <w:t>Youth Diversion makes sense factsheet</w:t>
        </w:r>
      </w:hyperlink>
      <w:r w:rsidRPr="00561000">
        <w:rPr>
          <w:szCs w:val="16"/>
        </w:rPr>
        <w:t xml:space="preserve">, </w:t>
      </w:r>
      <w:r>
        <w:rPr>
          <w:szCs w:val="16"/>
        </w:rPr>
        <w:t>November 2014.</w:t>
      </w:r>
    </w:p>
  </w:footnote>
  <w:footnote w:id="145">
    <w:p w14:paraId="4EFB792E" w14:textId="77777777" w:rsidR="00D02193" w:rsidRPr="00561000" w:rsidRDefault="00D02193" w:rsidP="00561000">
      <w:pPr>
        <w:pStyle w:val="FootnoteText"/>
        <w:rPr>
          <w:rFonts w:cs="Arial"/>
          <w:szCs w:val="16"/>
        </w:rPr>
      </w:pPr>
      <w:r w:rsidRPr="00561000">
        <w:rPr>
          <w:rStyle w:val="FootnoteReference"/>
          <w:rFonts w:cs="Arial"/>
          <w:szCs w:val="16"/>
        </w:rPr>
        <w:footnoteRef/>
      </w:r>
      <w:r w:rsidRPr="00561000">
        <w:rPr>
          <w:rFonts w:cs="Arial"/>
          <w:szCs w:val="16"/>
        </w:rPr>
        <w:t xml:space="preserve"> Sentencing Advisory Council, </w:t>
      </w:r>
      <w:r w:rsidRPr="00183EB7">
        <w:rPr>
          <w:rFonts w:cs="Arial"/>
          <w:i/>
          <w:szCs w:val="16"/>
        </w:rPr>
        <w:t>Sentencing Children in Victoria: Data Update Report</w:t>
      </w:r>
      <w:r w:rsidRPr="00561000">
        <w:rPr>
          <w:rFonts w:cs="Arial"/>
          <w:szCs w:val="16"/>
        </w:rPr>
        <w:t>, Sentencing Advisory Council, Melbourne,</w:t>
      </w:r>
    </w:p>
    <w:p w14:paraId="2064AC22" w14:textId="23E44DBA" w:rsidR="00D02193" w:rsidRPr="00561000" w:rsidRDefault="00D02193" w:rsidP="00561000">
      <w:pPr>
        <w:pStyle w:val="FootnoteText"/>
        <w:rPr>
          <w:rFonts w:cs="Arial"/>
          <w:szCs w:val="16"/>
        </w:rPr>
      </w:pPr>
      <w:r w:rsidRPr="00561000">
        <w:rPr>
          <w:rFonts w:cs="Arial"/>
          <w:szCs w:val="16"/>
        </w:rPr>
        <w:t>July 2016</w:t>
      </w:r>
      <w:r>
        <w:rPr>
          <w:rFonts w:cs="Arial"/>
          <w:szCs w:val="16"/>
        </w:rPr>
        <w:t>.</w:t>
      </w:r>
    </w:p>
  </w:footnote>
  <w:footnote w:id="146">
    <w:p w14:paraId="0E38563A" w14:textId="4CF9A1D3" w:rsidR="00D02193" w:rsidRPr="007C0F42" w:rsidRDefault="00D02193" w:rsidP="00CF4805">
      <w:pPr>
        <w:spacing w:before="0" w:after="0" w:line="240" w:lineRule="auto"/>
        <w:rPr>
          <w:sz w:val="16"/>
          <w:szCs w:val="16"/>
        </w:rPr>
      </w:pPr>
      <w:r w:rsidRPr="007C0F42">
        <w:rPr>
          <w:rStyle w:val="FootnoteReference"/>
          <w:sz w:val="16"/>
          <w:szCs w:val="16"/>
        </w:rPr>
        <w:footnoteRef/>
      </w:r>
      <w:r w:rsidRPr="007C0F42">
        <w:rPr>
          <w:sz w:val="16"/>
          <w:szCs w:val="16"/>
        </w:rPr>
        <w:t xml:space="preserve"> L Jordan and James Farrell, </w:t>
      </w:r>
      <w:r w:rsidRPr="007C0F42">
        <w:rPr>
          <w:i/>
          <w:iCs/>
          <w:sz w:val="16"/>
          <w:szCs w:val="16"/>
        </w:rPr>
        <w:t>Juvenile Justice Diversion in Victoria: A Blank Canvas</w:t>
      </w:r>
      <w:proofErr w:type="gramStart"/>
      <w:r w:rsidRPr="007C0F42">
        <w:rPr>
          <w:i/>
          <w:iCs/>
          <w:sz w:val="16"/>
          <w:szCs w:val="16"/>
        </w:rPr>
        <w:t>?</w:t>
      </w:r>
      <w:r w:rsidRPr="007C0F42">
        <w:rPr>
          <w:sz w:val="16"/>
          <w:szCs w:val="16"/>
        </w:rPr>
        <w:t>,</w:t>
      </w:r>
      <w:proofErr w:type="gramEnd"/>
      <w:r w:rsidRPr="007C0F42">
        <w:rPr>
          <w:sz w:val="16"/>
          <w:szCs w:val="16"/>
        </w:rPr>
        <w:t xml:space="preserve"> Current Issues in Criminal Justice, Volume 24 Number 3</w:t>
      </w:r>
      <w:r>
        <w:rPr>
          <w:sz w:val="16"/>
          <w:szCs w:val="16"/>
        </w:rPr>
        <w:t>, March 2013, p.437-8.</w:t>
      </w:r>
    </w:p>
  </w:footnote>
  <w:footnote w:id="147">
    <w:p w14:paraId="47CB83FC" w14:textId="77777777" w:rsidR="00D02193" w:rsidRDefault="00D02193" w:rsidP="00041F63">
      <w:pPr>
        <w:pStyle w:val="FootnoteText"/>
      </w:pPr>
      <w:r w:rsidRPr="00561000">
        <w:rPr>
          <w:rStyle w:val="FootnoteReference"/>
          <w:rFonts w:cs="Arial"/>
          <w:szCs w:val="16"/>
        </w:rPr>
        <w:footnoteRef/>
      </w:r>
      <w:r w:rsidRPr="00561000">
        <w:rPr>
          <w:rFonts w:cs="Arial"/>
          <w:szCs w:val="16"/>
        </w:rPr>
        <w:t xml:space="preserve"> State of Victoria, </w:t>
      </w:r>
      <w:r w:rsidRPr="00561000">
        <w:rPr>
          <w:rFonts w:cs="Arial"/>
          <w:i/>
          <w:szCs w:val="16"/>
        </w:rPr>
        <w:t>Royal Commission into Family Violence: Summary and recommendations</w:t>
      </w:r>
      <w:r w:rsidRPr="00561000">
        <w:rPr>
          <w:rFonts w:cs="Arial"/>
          <w:szCs w:val="16"/>
        </w:rPr>
        <w:t>, Parl Paper No 132 2015-16, March 2016, p. 79.</w:t>
      </w:r>
    </w:p>
  </w:footnote>
  <w:footnote w:id="148">
    <w:p w14:paraId="036C9C5E" w14:textId="77777777" w:rsidR="00D02193" w:rsidRPr="00561000" w:rsidRDefault="00D02193" w:rsidP="005F453E">
      <w:pPr>
        <w:pStyle w:val="FootnoteText"/>
        <w:rPr>
          <w:szCs w:val="16"/>
        </w:rPr>
      </w:pPr>
      <w:r w:rsidRPr="00561000">
        <w:rPr>
          <w:rStyle w:val="FootnoteReference"/>
          <w:szCs w:val="16"/>
        </w:rPr>
        <w:footnoteRef/>
      </w:r>
      <w:r w:rsidRPr="00561000">
        <w:rPr>
          <w:szCs w:val="16"/>
        </w:rPr>
        <w:t xml:space="preserve"> Jesuit </w:t>
      </w:r>
      <w:r w:rsidRPr="00561000">
        <w:rPr>
          <w:rFonts w:cs="Arial"/>
          <w:szCs w:val="16"/>
        </w:rPr>
        <w:t xml:space="preserve">Social Services, </w:t>
      </w:r>
      <w:hyperlink r:id="rId30" w:history="1">
        <w:proofErr w:type="gramStart"/>
        <w:r w:rsidRPr="00561000">
          <w:rPr>
            <w:rStyle w:val="Hyperlink"/>
            <w:rFonts w:cs="Arial"/>
            <w:i/>
            <w:sz w:val="16"/>
            <w:szCs w:val="16"/>
          </w:rPr>
          <w:t>To</w:t>
        </w:r>
        <w:proofErr w:type="gramEnd"/>
        <w:r w:rsidRPr="00561000">
          <w:rPr>
            <w:rStyle w:val="Hyperlink"/>
            <w:rFonts w:cs="Arial"/>
            <w:i/>
            <w:sz w:val="16"/>
            <w:szCs w:val="16"/>
          </w:rPr>
          <w:t xml:space="preserve"> address youth offending, we must look to the evidence of what works</w:t>
        </w:r>
      </w:hyperlink>
      <w:r w:rsidRPr="00561000">
        <w:rPr>
          <w:rFonts w:cs="Arial"/>
          <w:szCs w:val="16"/>
        </w:rPr>
        <w:t xml:space="preserve">, </w:t>
      </w:r>
      <w:r w:rsidRPr="00561000">
        <w:rPr>
          <w:rFonts w:cs="Arial"/>
          <w:color w:val="1D1D1D"/>
          <w:szCs w:val="16"/>
        </w:rPr>
        <w:t>25th July, 2016.</w:t>
      </w:r>
    </w:p>
  </w:footnote>
  <w:footnote w:id="149">
    <w:p w14:paraId="78B76762" w14:textId="77777777" w:rsidR="00D02193" w:rsidRPr="00561000" w:rsidRDefault="00D02193" w:rsidP="005F453E">
      <w:pPr>
        <w:pStyle w:val="FootnoteText"/>
        <w:rPr>
          <w:szCs w:val="16"/>
        </w:rPr>
      </w:pPr>
      <w:r w:rsidRPr="00561000">
        <w:rPr>
          <w:rStyle w:val="FootnoteReference"/>
          <w:szCs w:val="16"/>
        </w:rPr>
        <w:footnoteRef/>
      </w:r>
      <w:r w:rsidRPr="00561000">
        <w:rPr>
          <w:szCs w:val="16"/>
        </w:rPr>
        <w:t xml:space="preserve"> Jesuit </w:t>
      </w:r>
      <w:r w:rsidRPr="00561000">
        <w:rPr>
          <w:rFonts w:cs="Arial"/>
          <w:szCs w:val="16"/>
        </w:rPr>
        <w:t xml:space="preserve">Social Services, </w:t>
      </w:r>
      <w:hyperlink r:id="rId31" w:history="1">
        <w:proofErr w:type="gramStart"/>
        <w:r w:rsidRPr="00561000">
          <w:rPr>
            <w:rStyle w:val="Hyperlink"/>
            <w:rFonts w:cs="Arial"/>
            <w:i/>
            <w:sz w:val="16"/>
            <w:szCs w:val="16"/>
          </w:rPr>
          <w:t>To</w:t>
        </w:r>
        <w:proofErr w:type="gramEnd"/>
        <w:r w:rsidRPr="00561000">
          <w:rPr>
            <w:rStyle w:val="Hyperlink"/>
            <w:rFonts w:cs="Arial"/>
            <w:i/>
            <w:sz w:val="16"/>
            <w:szCs w:val="16"/>
          </w:rPr>
          <w:t xml:space="preserve"> address youth offending, we must look to the evidence of what works</w:t>
        </w:r>
      </w:hyperlink>
      <w:r w:rsidRPr="00561000">
        <w:rPr>
          <w:rFonts w:cs="Arial"/>
          <w:szCs w:val="16"/>
        </w:rPr>
        <w:t xml:space="preserve">, </w:t>
      </w:r>
      <w:r w:rsidRPr="00561000">
        <w:rPr>
          <w:rFonts w:cs="Arial"/>
          <w:color w:val="1D1D1D"/>
          <w:szCs w:val="16"/>
        </w:rPr>
        <w:t>25th July, 2016.</w:t>
      </w:r>
    </w:p>
  </w:footnote>
  <w:footnote w:id="150">
    <w:p w14:paraId="62789549" w14:textId="77777777" w:rsidR="00D02193" w:rsidRPr="00561000" w:rsidRDefault="00D02193" w:rsidP="00561000">
      <w:pPr>
        <w:pStyle w:val="FootnoteText"/>
        <w:rPr>
          <w:szCs w:val="16"/>
        </w:rPr>
      </w:pPr>
      <w:r w:rsidRPr="00561000">
        <w:rPr>
          <w:rStyle w:val="FootnoteReference"/>
          <w:szCs w:val="16"/>
        </w:rPr>
        <w:footnoteRef/>
      </w:r>
      <w:r w:rsidRPr="00561000">
        <w:rPr>
          <w:szCs w:val="16"/>
        </w:rPr>
        <w:t xml:space="preserve"> Jesuit Social Services, </w:t>
      </w:r>
      <w:r w:rsidRPr="00561000">
        <w:rPr>
          <w:i/>
          <w:szCs w:val="16"/>
        </w:rPr>
        <w:t xml:space="preserve">Thinking Outside; Alternatives to remand for children, </w:t>
      </w:r>
      <w:r w:rsidRPr="00561000">
        <w:rPr>
          <w:szCs w:val="16"/>
        </w:rPr>
        <w:t>2013.</w:t>
      </w:r>
    </w:p>
  </w:footnote>
  <w:footnote w:id="151">
    <w:p w14:paraId="22707B02" w14:textId="524972ED" w:rsidR="00D02193" w:rsidRPr="00561000" w:rsidRDefault="00D02193" w:rsidP="00561000">
      <w:pPr>
        <w:pStyle w:val="FootnoteText"/>
        <w:rPr>
          <w:szCs w:val="16"/>
        </w:rPr>
      </w:pPr>
      <w:r w:rsidRPr="00561000">
        <w:rPr>
          <w:rStyle w:val="FootnoteReference"/>
          <w:szCs w:val="16"/>
        </w:rPr>
        <w:footnoteRef/>
      </w:r>
      <w:r w:rsidRPr="00561000">
        <w:rPr>
          <w:szCs w:val="16"/>
        </w:rPr>
        <w:t xml:space="preserve"> State Government, </w:t>
      </w:r>
      <w:hyperlink r:id="rId32" w:history="1">
        <w:r w:rsidRPr="00561000">
          <w:rPr>
            <w:rStyle w:val="Hyperlink"/>
            <w:i/>
            <w:sz w:val="16"/>
            <w:szCs w:val="16"/>
          </w:rPr>
          <w:t>Victorian Government Aboriginal Affairs Report 2016</w:t>
        </w:r>
      </w:hyperlink>
      <w:r w:rsidRPr="00561000">
        <w:rPr>
          <w:szCs w:val="16"/>
        </w:rPr>
        <w:t>, Department of Premier and Cabinet, November 2016</w:t>
      </w:r>
    </w:p>
  </w:footnote>
  <w:footnote w:id="152">
    <w:p w14:paraId="647A14CD" w14:textId="06AA4001" w:rsidR="00D02193" w:rsidRPr="00561000" w:rsidRDefault="00D02193" w:rsidP="00561000">
      <w:pPr>
        <w:pStyle w:val="FootnoteText"/>
        <w:rPr>
          <w:szCs w:val="16"/>
        </w:rPr>
      </w:pPr>
      <w:r w:rsidRPr="00561000">
        <w:rPr>
          <w:rStyle w:val="FootnoteReference"/>
          <w:szCs w:val="16"/>
        </w:rPr>
        <w:footnoteRef/>
      </w:r>
      <w:r w:rsidRPr="00561000">
        <w:rPr>
          <w:szCs w:val="16"/>
        </w:rPr>
        <w:t xml:space="preserve"> </w:t>
      </w:r>
      <w:r w:rsidRPr="00561000">
        <w:rPr>
          <w:rStyle w:val="apple-converted-space"/>
          <w:rFonts w:cs="Arial"/>
          <w:color w:val="333333"/>
          <w:szCs w:val="16"/>
          <w:shd w:val="clear" w:color="auto" w:fill="FFFFFF"/>
        </w:rPr>
        <w:t> </w:t>
      </w:r>
      <w:r w:rsidRPr="00561000">
        <w:rPr>
          <w:rFonts w:cs="Arial"/>
          <w:color w:val="333333"/>
          <w:szCs w:val="16"/>
          <w:shd w:val="clear" w:color="auto" w:fill="FFFFFF"/>
        </w:rPr>
        <w:t xml:space="preserve">Victorian Aboriginal Legal Service, </w:t>
      </w:r>
      <w:r w:rsidRPr="00183EB7">
        <w:rPr>
          <w:rFonts w:cs="Arial"/>
          <w:i/>
          <w:color w:val="333333"/>
          <w:szCs w:val="16"/>
          <w:shd w:val="clear" w:color="auto" w:fill="FFFFFF"/>
        </w:rPr>
        <w:t>Practical Recommendations for Diversion</w:t>
      </w:r>
      <w:r w:rsidRPr="00561000">
        <w:rPr>
          <w:rFonts w:cs="Arial"/>
          <w:color w:val="333333"/>
          <w:szCs w:val="16"/>
          <w:shd w:val="clear" w:color="auto" w:fill="FFFFFF"/>
        </w:rPr>
        <w:t>, March 2016</w:t>
      </w:r>
      <w:r>
        <w:rPr>
          <w:rFonts w:cs="Arial"/>
          <w:color w:val="333333"/>
          <w:szCs w:val="16"/>
          <w:shd w:val="clear" w:color="auto" w:fill="FFFFFF"/>
        </w:rPr>
        <w:t>.</w:t>
      </w:r>
    </w:p>
  </w:footnote>
  <w:footnote w:id="153">
    <w:p w14:paraId="1F8C3D49" w14:textId="1B47D047" w:rsidR="00D02193" w:rsidRPr="00561000" w:rsidRDefault="00D02193" w:rsidP="00561000">
      <w:pPr>
        <w:pStyle w:val="FootnoteText"/>
        <w:rPr>
          <w:szCs w:val="16"/>
        </w:rPr>
      </w:pPr>
      <w:r w:rsidRPr="00561000">
        <w:rPr>
          <w:rStyle w:val="FootnoteReference"/>
          <w:szCs w:val="16"/>
        </w:rPr>
        <w:footnoteRef/>
      </w:r>
      <w:r w:rsidRPr="00561000">
        <w:rPr>
          <w:szCs w:val="16"/>
        </w:rPr>
        <w:t xml:space="preserve"> </w:t>
      </w:r>
      <w:r w:rsidRPr="00183EB7">
        <w:rPr>
          <w:i/>
          <w:szCs w:val="16"/>
        </w:rPr>
        <w:t>Victorian Aboriginal Justice Agreement Phase 3 (AJA3) A partnership between the Victorian Government and Koori Community</w:t>
      </w:r>
      <w:r w:rsidRPr="00561000">
        <w:rPr>
          <w:szCs w:val="16"/>
        </w:rPr>
        <w:t xml:space="preserve">, Koori Justice Unit, Victorian Government Department of Justice, Melbourne, March 2013, p.12.  </w:t>
      </w:r>
    </w:p>
  </w:footnote>
  <w:footnote w:id="154">
    <w:p w14:paraId="1EBA21E2" w14:textId="77777777" w:rsidR="00D02193" w:rsidRDefault="00D02193" w:rsidP="00561000">
      <w:pPr>
        <w:spacing w:before="0" w:after="0" w:line="240" w:lineRule="auto"/>
      </w:pPr>
      <w:r w:rsidRPr="00561000">
        <w:rPr>
          <w:rStyle w:val="FootnoteReference"/>
          <w:sz w:val="16"/>
          <w:szCs w:val="16"/>
        </w:rPr>
        <w:footnoteRef/>
      </w:r>
      <w:r w:rsidRPr="00561000">
        <w:rPr>
          <w:sz w:val="16"/>
          <w:szCs w:val="16"/>
        </w:rPr>
        <w:t xml:space="preserve"> </w:t>
      </w:r>
      <w:r w:rsidRPr="00561000">
        <w:rPr>
          <w:rFonts w:asciiTheme="minorBidi" w:hAnsiTheme="minorBidi"/>
          <w:iCs/>
          <w:sz w:val="16"/>
          <w:szCs w:val="16"/>
          <w:lang w:val="en-GB"/>
        </w:rPr>
        <w:t xml:space="preserve">P Sutherland and M </w:t>
      </w:r>
      <w:proofErr w:type="spellStart"/>
      <w:r w:rsidRPr="00561000">
        <w:rPr>
          <w:rFonts w:asciiTheme="minorBidi" w:hAnsiTheme="minorBidi"/>
          <w:iCs/>
          <w:sz w:val="16"/>
          <w:szCs w:val="16"/>
          <w:lang w:val="en-GB"/>
        </w:rPr>
        <w:t>Millsteed</w:t>
      </w:r>
      <w:proofErr w:type="spellEnd"/>
      <w:r w:rsidRPr="00561000">
        <w:rPr>
          <w:rFonts w:asciiTheme="minorBidi" w:hAnsiTheme="minorBidi"/>
          <w:iCs/>
          <w:sz w:val="16"/>
          <w:szCs w:val="16"/>
          <w:lang w:val="en-GB"/>
        </w:rPr>
        <w:t xml:space="preserve">, </w:t>
      </w:r>
      <w:proofErr w:type="gramStart"/>
      <w:r w:rsidRPr="00561000">
        <w:rPr>
          <w:rFonts w:asciiTheme="minorBidi" w:hAnsiTheme="minorBidi"/>
          <w:i/>
          <w:sz w:val="16"/>
          <w:szCs w:val="16"/>
          <w:lang w:val="en-GB"/>
        </w:rPr>
        <w:t>In</w:t>
      </w:r>
      <w:proofErr w:type="gramEnd"/>
      <w:r w:rsidRPr="00561000">
        <w:rPr>
          <w:rFonts w:asciiTheme="minorBidi" w:hAnsiTheme="minorBidi"/>
          <w:i/>
          <w:sz w:val="16"/>
          <w:szCs w:val="16"/>
          <w:lang w:val="en-GB"/>
        </w:rPr>
        <w:t xml:space="preserve"> brief: </w:t>
      </w:r>
      <w:r w:rsidRPr="00561000">
        <w:rPr>
          <w:rFonts w:asciiTheme="minorBidi" w:hAnsiTheme="minorBidi"/>
          <w:i/>
          <w:sz w:val="16"/>
          <w:szCs w:val="16"/>
        </w:rPr>
        <w:t>Patterns of recorded offending behaviour amongst young Victorian offenders</w:t>
      </w:r>
      <w:r w:rsidRPr="00561000">
        <w:rPr>
          <w:rFonts w:asciiTheme="minorBidi" w:hAnsiTheme="minorBidi"/>
          <w:iCs/>
          <w:sz w:val="16"/>
          <w:szCs w:val="16"/>
        </w:rPr>
        <w:t>, Number 6, Crime Statistics Agency, September 2016.</w:t>
      </w:r>
    </w:p>
  </w:footnote>
  <w:footnote w:id="155">
    <w:p w14:paraId="0DCDB421" w14:textId="77777777" w:rsidR="00D02193" w:rsidRPr="00183EB7" w:rsidRDefault="00D02193" w:rsidP="00BF1E90">
      <w:pPr>
        <w:pStyle w:val="FootnoteText"/>
        <w:rPr>
          <w:rFonts w:cs="Arial"/>
          <w:szCs w:val="16"/>
        </w:rPr>
      </w:pPr>
      <w:r w:rsidRPr="00561000">
        <w:rPr>
          <w:rStyle w:val="FootnoteReference"/>
          <w:rFonts w:cs="Arial"/>
          <w:szCs w:val="16"/>
        </w:rPr>
        <w:footnoteRef/>
      </w:r>
      <w:r>
        <w:rPr>
          <w:rFonts w:cs="Arial"/>
          <w:szCs w:val="16"/>
        </w:rPr>
        <w:t xml:space="preserve"> J </w:t>
      </w:r>
      <w:r w:rsidRPr="00561000">
        <w:rPr>
          <w:rFonts w:cs="Arial"/>
          <w:szCs w:val="16"/>
        </w:rPr>
        <w:t>Edward</w:t>
      </w:r>
      <w:r w:rsidRPr="00183EB7">
        <w:rPr>
          <w:rFonts w:cs="Arial"/>
          <w:szCs w:val="16"/>
        </w:rPr>
        <w:t xml:space="preserve">s, </w:t>
      </w:r>
      <w:r w:rsidRPr="00183EB7">
        <w:rPr>
          <w:rFonts w:cs="Arial"/>
          <w:i/>
          <w:szCs w:val="16"/>
        </w:rPr>
        <w:t>Dealing with young offenders is difficult, but not impossible</w:t>
      </w:r>
      <w:r w:rsidRPr="00183EB7">
        <w:rPr>
          <w:rFonts w:cs="Arial"/>
          <w:szCs w:val="16"/>
        </w:rPr>
        <w:t xml:space="preserve">, the Age, November 2016, </w:t>
      </w:r>
      <w:hyperlink r:id="rId33" w:history="1">
        <w:r w:rsidRPr="00561000">
          <w:rPr>
            <w:rStyle w:val="Hyperlink"/>
            <w:rFonts w:cs="Arial"/>
            <w:sz w:val="16"/>
            <w:szCs w:val="16"/>
          </w:rPr>
          <w:t>http://www.theage.com.au/comment/dealing-with-young-offenders-is-difficult-but-not-impossible-20161128-gszb9r.html</w:t>
        </w:r>
      </w:hyperlink>
      <w:r w:rsidRPr="00183EB7">
        <w:rPr>
          <w:rStyle w:val="Hyperlink"/>
          <w:rFonts w:cs="Arial"/>
          <w:color w:val="auto"/>
          <w:sz w:val="16"/>
          <w:szCs w:val="16"/>
          <w:u w:val="none"/>
        </w:rPr>
        <w:t>, accessed 21 February 2017.</w:t>
      </w:r>
    </w:p>
  </w:footnote>
  <w:footnote w:id="156">
    <w:p w14:paraId="278419CD" w14:textId="77777777" w:rsidR="00D02193" w:rsidRPr="007C0F42" w:rsidRDefault="00D02193" w:rsidP="00BF1E90">
      <w:pPr>
        <w:spacing w:before="0" w:after="0" w:line="240" w:lineRule="auto"/>
        <w:rPr>
          <w:sz w:val="16"/>
          <w:szCs w:val="16"/>
        </w:rPr>
      </w:pPr>
      <w:r w:rsidRPr="007C0F42">
        <w:rPr>
          <w:rStyle w:val="FootnoteReference"/>
          <w:sz w:val="16"/>
          <w:szCs w:val="16"/>
        </w:rPr>
        <w:footnoteRef/>
      </w:r>
      <w:r w:rsidRPr="007C0F42">
        <w:rPr>
          <w:sz w:val="16"/>
          <w:szCs w:val="16"/>
        </w:rPr>
        <w:t xml:space="preserve"> L Jordan and James Farrell, </w:t>
      </w:r>
      <w:r w:rsidRPr="007C0F42">
        <w:rPr>
          <w:i/>
          <w:iCs/>
          <w:sz w:val="16"/>
          <w:szCs w:val="16"/>
        </w:rPr>
        <w:t>Juvenile Justice Diversion in Victoria: A Blank Canvas?</w:t>
      </w:r>
      <w:r w:rsidRPr="007C0F42">
        <w:rPr>
          <w:sz w:val="16"/>
          <w:szCs w:val="16"/>
        </w:rPr>
        <w:t>, Current Issues in Criminal Justice, Volume 24 Number 3</w:t>
      </w:r>
      <w:r>
        <w:rPr>
          <w:sz w:val="16"/>
          <w:szCs w:val="16"/>
        </w:rPr>
        <w:t>, March 2013, p.431.</w:t>
      </w:r>
    </w:p>
  </w:footnote>
  <w:footnote w:id="157">
    <w:p w14:paraId="11DE8FB6" w14:textId="77777777" w:rsidR="00D02193" w:rsidRPr="00561000" w:rsidRDefault="00D02193" w:rsidP="00BF1E90">
      <w:pPr>
        <w:pStyle w:val="FootnoteText"/>
        <w:rPr>
          <w:rFonts w:cs="Arial"/>
          <w:szCs w:val="16"/>
        </w:rPr>
      </w:pPr>
      <w:r w:rsidRPr="00561000">
        <w:rPr>
          <w:rStyle w:val="FootnoteReference"/>
          <w:rFonts w:cs="Arial"/>
          <w:szCs w:val="16"/>
        </w:rPr>
        <w:footnoteRef/>
      </w:r>
      <w:r w:rsidRPr="00561000">
        <w:rPr>
          <w:rFonts w:cs="Arial"/>
          <w:szCs w:val="16"/>
        </w:rPr>
        <w:t xml:space="preserve"> YSAS, </w:t>
      </w:r>
      <w:hyperlink r:id="rId34" w:history="1">
        <w:r w:rsidRPr="00183EB7">
          <w:rPr>
            <w:rStyle w:val="Hyperlink"/>
            <w:rFonts w:cs="Arial"/>
            <w:i/>
            <w:sz w:val="16"/>
            <w:szCs w:val="16"/>
          </w:rPr>
          <w:t>YSAS Snapshot: Findings from the assertive outreach initiative with African-born young people</w:t>
        </w:r>
      </w:hyperlink>
      <w:r w:rsidRPr="00183EB7">
        <w:rPr>
          <w:rFonts w:cs="Arial"/>
          <w:szCs w:val="16"/>
        </w:rPr>
        <w:t>, October</w:t>
      </w:r>
      <w:r w:rsidRPr="00561000">
        <w:rPr>
          <w:rFonts w:cs="Arial"/>
          <w:szCs w:val="16"/>
        </w:rPr>
        <w:t xml:space="preserve"> 2013</w:t>
      </w:r>
      <w:r>
        <w:rPr>
          <w:rFonts w:cs="Arial"/>
          <w:szCs w:val="16"/>
        </w:rPr>
        <w:t>.</w:t>
      </w:r>
    </w:p>
  </w:footnote>
  <w:footnote w:id="158">
    <w:p w14:paraId="47726BAB" w14:textId="77777777" w:rsidR="00D02193" w:rsidRPr="00183EB7" w:rsidRDefault="00D02193" w:rsidP="00183EB7">
      <w:pPr>
        <w:pStyle w:val="FootnoteText"/>
        <w:rPr>
          <w:rFonts w:cs="Arial"/>
          <w:szCs w:val="16"/>
        </w:rPr>
      </w:pPr>
      <w:r w:rsidRPr="00561000">
        <w:rPr>
          <w:rStyle w:val="FootnoteReference"/>
          <w:rFonts w:cs="Arial"/>
          <w:szCs w:val="16"/>
        </w:rPr>
        <w:footnoteRef/>
      </w:r>
      <w:r>
        <w:rPr>
          <w:rFonts w:cs="Arial"/>
          <w:szCs w:val="16"/>
        </w:rPr>
        <w:t xml:space="preserve"> J </w:t>
      </w:r>
      <w:r w:rsidRPr="00561000">
        <w:rPr>
          <w:rFonts w:cs="Arial"/>
          <w:szCs w:val="16"/>
        </w:rPr>
        <w:t>Edward</w:t>
      </w:r>
      <w:r w:rsidRPr="00183EB7">
        <w:rPr>
          <w:rFonts w:cs="Arial"/>
          <w:szCs w:val="16"/>
        </w:rPr>
        <w:t xml:space="preserve">s, </w:t>
      </w:r>
      <w:r w:rsidRPr="00183EB7">
        <w:rPr>
          <w:rFonts w:cs="Arial"/>
          <w:i/>
          <w:szCs w:val="16"/>
        </w:rPr>
        <w:t>Dealing with young offenders is difficult, but not impossible</w:t>
      </w:r>
      <w:r w:rsidRPr="00183EB7">
        <w:rPr>
          <w:rFonts w:cs="Arial"/>
          <w:szCs w:val="16"/>
        </w:rPr>
        <w:t xml:space="preserve">, the Age, November 2016, </w:t>
      </w:r>
      <w:hyperlink r:id="rId35" w:history="1">
        <w:r w:rsidRPr="00561000">
          <w:rPr>
            <w:rStyle w:val="Hyperlink"/>
            <w:rFonts w:cs="Arial"/>
            <w:sz w:val="16"/>
            <w:szCs w:val="16"/>
          </w:rPr>
          <w:t>http://www.theage.com.au/comment/dealing-with-young-offenders-is-difficult-but-not-impossible-20161128-gszb9r.html</w:t>
        </w:r>
      </w:hyperlink>
      <w:r w:rsidRPr="00183EB7">
        <w:rPr>
          <w:rStyle w:val="Hyperlink"/>
          <w:rFonts w:cs="Arial"/>
          <w:color w:val="auto"/>
          <w:sz w:val="16"/>
          <w:szCs w:val="16"/>
          <w:u w:val="none"/>
        </w:rPr>
        <w:t>, accessed 21 February 2017.</w:t>
      </w:r>
    </w:p>
  </w:footnote>
  <w:footnote w:id="159">
    <w:p w14:paraId="0739E203" w14:textId="77777777" w:rsidR="00D02193" w:rsidRPr="00561000" w:rsidRDefault="00D02193" w:rsidP="00183EB7">
      <w:pPr>
        <w:pStyle w:val="FootnoteText"/>
        <w:rPr>
          <w:rFonts w:cs="Arial"/>
          <w:szCs w:val="16"/>
        </w:rPr>
      </w:pPr>
      <w:r w:rsidRPr="00561000">
        <w:rPr>
          <w:rStyle w:val="FootnoteReference"/>
          <w:rFonts w:cs="Arial"/>
          <w:szCs w:val="16"/>
        </w:rPr>
        <w:footnoteRef/>
      </w:r>
      <w:r w:rsidRPr="00561000">
        <w:rPr>
          <w:rFonts w:cs="Arial"/>
          <w:szCs w:val="16"/>
        </w:rPr>
        <w:t xml:space="preserve"> YSAS, </w:t>
      </w:r>
      <w:hyperlink r:id="rId36" w:history="1">
        <w:r w:rsidRPr="00183EB7">
          <w:rPr>
            <w:rStyle w:val="Hyperlink"/>
            <w:rFonts w:cs="Arial"/>
            <w:i/>
            <w:sz w:val="16"/>
            <w:szCs w:val="16"/>
          </w:rPr>
          <w:t>YSAS Snapshot: Findings from the assertive outreach initiative with African-born young people</w:t>
        </w:r>
      </w:hyperlink>
      <w:r w:rsidRPr="00183EB7">
        <w:rPr>
          <w:rFonts w:cs="Arial"/>
          <w:szCs w:val="16"/>
        </w:rPr>
        <w:t>, October</w:t>
      </w:r>
      <w:r w:rsidRPr="00561000">
        <w:rPr>
          <w:rFonts w:cs="Arial"/>
          <w:szCs w:val="16"/>
        </w:rPr>
        <w:t xml:space="preserve"> 2013</w:t>
      </w:r>
      <w:r>
        <w:rPr>
          <w:rFonts w:cs="Arial"/>
          <w:szCs w:val="16"/>
        </w:rPr>
        <w:t>.</w:t>
      </w:r>
    </w:p>
  </w:footnote>
  <w:footnote w:id="160">
    <w:p w14:paraId="746156E2" w14:textId="77777777" w:rsidR="00D02193" w:rsidRDefault="00D02193" w:rsidP="006D0FF7">
      <w:pPr>
        <w:spacing w:before="0" w:after="0" w:line="240" w:lineRule="auto"/>
      </w:pPr>
      <w:r w:rsidRPr="00561000">
        <w:rPr>
          <w:rStyle w:val="FootnoteReference"/>
          <w:sz w:val="16"/>
          <w:szCs w:val="16"/>
        </w:rPr>
        <w:footnoteRef/>
      </w:r>
      <w:r w:rsidRPr="00561000">
        <w:rPr>
          <w:sz w:val="16"/>
          <w:szCs w:val="16"/>
        </w:rPr>
        <w:t xml:space="preserve"> </w:t>
      </w:r>
      <w:r w:rsidRPr="00561000">
        <w:rPr>
          <w:iCs/>
          <w:sz w:val="16"/>
          <w:szCs w:val="16"/>
          <w:lang w:val="en-GB"/>
        </w:rPr>
        <w:t xml:space="preserve">P Sutherland and M </w:t>
      </w:r>
      <w:proofErr w:type="spellStart"/>
      <w:r w:rsidRPr="00561000">
        <w:rPr>
          <w:iCs/>
          <w:sz w:val="16"/>
          <w:szCs w:val="16"/>
          <w:lang w:val="en-GB"/>
        </w:rPr>
        <w:t>Millsteed</w:t>
      </w:r>
      <w:proofErr w:type="spellEnd"/>
      <w:r w:rsidRPr="00561000">
        <w:rPr>
          <w:iCs/>
          <w:sz w:val="16"/>
          <w:szCs w:val="16"/>
          <w:lang w:val="en-GB"/>
        </w:rPr>
        <w:t xml:space="preserve">, </w:t>
      </w:r>
      <w:proofErr w:type="gramStart"/>
      <w:r w:rsidRPr="00561000">
        <w:rPr>
          <w:i/>
          <w:sz w:val="16"/>
          <w:szCs w:val="16"/>
          <w:lang w:val="en-GB"/>
        </w:rPr>
        <w:t>In</w:t>
      </w:r>
      <w:proofErr w:type="gramEnd"/>
      <w:r w:rsidRPr="00561000">
        <w:rPr>
          <w:i/>
          <w:sz w:val="16"/>
          <w:szCs w:val="16"/>
          <w:lang w:val="en-GB"/>
        </w:rPr>
        <w:t xml:space="preserve"> brief: </w:t>
      </w:r>
      <w:r w:rsidRPr="00561000">
        <w:rPr>
          <w:i/>
          <w:sz w:val="16"/>
          <w:szCs w:val="16"/>
        </w:rPr>
        <w:t>Patterns of recorded offending behaviour amongst young Victorian offenders</w:t>
      </w:r>
      <w:r w:rsidRPr="00561000">
        <w:rPr>
          <w:iCs/>
          <w:sz w:val="16"/>
          <w:szCs w:val="16"/>
        </w:rPr>
        <w:t>, Number 6, Crime Statistics Agency, September 2016.</w:t>
      </w:r>
    </w:p>
  </w:footnote>
  <w:footnote w:id="161">
    <w:p w14:paraId="05A7AB04" w14:textId="77777777" w:rsidR="00D02193" w:rsidRPr="00030B54" w:rsidRDefault="00D02193" w:rsidP="00561000">
      <w:pPr>
        <w:spacing w:before="0" w:after="0" w:line="240" w:lineRule="auto"/>
        <w:rPr>
          <w:rFonts w:eastAsia="Times New Roman"/>
          <w:sz w:val="16"/>
          <w:szCs w:val="16"/>
        </w:rPr>
      </w:pPr>
      <w:r w:rsidRPr="00030B54">
        <w:rPr>
          <w:rStyle w:val="FootnoteReference"/>
          <w:sz w:val="16"/>
          <w:szCs w:val="16"/>
        </w:rPr>
        <w:footnoteRef/>
      </w:r>
      <w:r w:rsidRPr="00030B54">
        <w:rPr>
          <w:sz w:val="16"/>
          <w:szCs w:val="16"/>
        </w:rPr>
        <w:t xml:space="preserve"> K Richards and L Renshaw, </w:t>
      </w:r>
      <w:r w:rsidRPr="00183EB7">
        <w:rPr>
          <w:i/>
          <w:sz w:val="16"/>
          <w:szCs w:val="16"/>
        </w:rPr>
        <w:t>Bail and remand for young people in Australia: A national research project</w:t>
      </w:r>
      <w:r w:rsidRPr="00030B54">
        <w:rPr>
          <w:sz w:val="16"/>
          <w:szCs w:val="16"/>
        </w:rPr>
        <w:t xml:space="preserve">, AIC Reports, Research and Public Policy Series 125, </w:t>
      </w:r>
      <w:r w:rsidRPr="00030B54">
        <w:rPr>
          <w:rFonts w:eastAsia="Times New Roman"/>
          <w:sz w:val="16"/>
          <w:szCs w:val="16"/>
        </w:rPr>
        <w:t xml:space="preserve">Australian Institute of Criminology, </w:t>
      </w:r>
      <w:r w:rsidRPr="00030B54">
        <w:rPr>
          <w:sz w:val="16"/>
          <w:szCs w:val="16"/>
        </w:rPr>
        <w:t>Canberra,</w:t>
      </w:r>
      <w:r w:rsidRPr="00030B54">
        <w:rPr>
          <w:rFonts w:eastAsia="Times New Roman"/>
          <w:sz w:val="16"/>
          <w:szCs w:val="16"/>
        </w:rPr>
        <w:t xml:space="preserve"> 2013. </w:t>
      </w:r>
    </w:p>
  </w:footnote>
  <w:footnote w:id="162">
    <w:p w14:paraId="2B549375" w14:textId="1BE118AF" w:rsidR="00D02193" w:rsidRPr="00030B54" w:rsidRDefault="00D02193" w:rsidP="00561000">
      <w:pPr>
        <w:pStyle w:val="FootnoteText"/>
        <w:rPr>
          <w:rFonts w:cs="Arial"/>
          <w:szCs w:val="16"/>
        </w:rPr>
      </w:pPr>
      <w:r w:rsidRPr="00030B54">
        <w:rPr>
          <w:rStyle w:val="FootnoteReference"/>
          <w:rFonts w:cs="Arial"/>
          <w:szCs w:val="16"/>
        </w:rPr>
        <w:footnoteRef/>
      </w:r>
      <w:r w:rsidRPr="00030B54">
        <w:rPr>
          <w:rFonts w:cs="Arial"/>
          <w:szCs w:val="16"/>
        </w:rPr>
        <w:t xml:space="preserve"> </w:t>
      </w:r>
      <w:r w:rsidRPr="00030B54">
        <w:rPr>
          <w:rFonts w:cs="Arial"/>
          <w:color w:val="333333"/>
          <w:szCs w:val="16"/>
          <w:shd w:val="clear" w:color="auto" w:fill="FFFFFF"/>
        </w:rPr>
        <w:t>Australian Institute of Health and Welfare</w:t>
      </w:r>
      <w:r w:rsidRPr="00030B54">
        <w:rPr>
          <w:rFonts w:cs="Arial"/>
          <w:szCs w:val="16"/>
        </w:rPr>
        <w:t xml:space="preserve">, </w:t>
      </w:r>
      <w:r w:rsidRPr="00C93A62">
        <w:rPr>
          <w:rFonts w:cs="Arial"/>
          <w:i/>
          <w:szCs w:val="16"/>
        </w:rPr>
        <w:t>Youth detention population in Australia 2016:</w:t>
      </w:r>
      <w:r>
        <w:rPr>
          <w:rFonts w:cs="Arial"/>
          <w:i/>
          <w:szCs w:val="16"/>
        </w:rPr>
        <w:t xml:space="preserve"> </w:t>
      </w:r>
      <w:r w:rsidRPr="00C93A62">
        <w:rPr>
          <w:rStyle w:val="Emphasis"/>
          <w:rFonts w:cs="Arial"/>
          <w:i w:val="0"/>
          <w:color w:val="333333"/>
          <w:szCs w:val="16"/>
          <w:bdr w:val="none" w:sz="0" w:space="0" w:color="auto" w:frame="1"/>
          <w:shd w:val="clear" w:color="auto" w:fill="FFFFFF"/>
        </w:rPr>
        <w:t>Supplementary Tables</w:t>
      </w:r>
      <w:r w:rsidRPr="00030B54">
        <w:rPr>
          <w:rStyle w:val="Emphasis"/>
          <w:rFonts w:cs="Arial"/>
          <w:color w:val="333333"/>
          <w:szCs w:val="16"/>
          <w:bdr w:val="none" w:sz="0" w:space="0" w:color="auto" w:frame="1"/>
          <w:shd w:val="clear" w:color="auto" w:fill="FFFFFF"/>
        </w:rPr>
        <w:t>,</w:t>
      </w:r>
      <w:r w:rsidRPr="00030B54">
        <w:rPr>
          <w:rStyle w:val="apple-converted-space"/>
          <w:rFonts w:cs="Arial"/>
          <w:i/>
          <w:iCs/>
          <w:color w:val="333333"/>
          <w:szCs w:val="16"/>
          <w:bdr w:val="none" w:sz="0" w:space="0" w:color="auto" w:frame="1"/>
          <w:shd w:val="clear" w:color="auto" w:fill="FFFFFF"/>
        </w:rPr>
        <w:t> </w:t>
      </w:r>
      <w:r w:rsidRPr="00030B54">
        <w:rPr>
          <w:rFonts w:cs="Arial"/>
          <w:szCs w:val="16"/>
        </w:rPr>
        <w:t xml:space="preserve">December 2016, </w:t>
      </w:r>
      <w:r>
        <w:rPr>
          <w:rFonts w:cs="Arial"/>
          <w:szCs w:val="16"/>
        </w:rPr>
        <w:t>p</w:t>
      </w:r>
      <w:r w:rsidRPr="00030B54">
        <w:rPr>
          <w:rFonts w:cs="Arial"/>
          <w:szCs w:val="16"/>
        </w:rPr>
        <w:t>. 14.</w:t>
      </w:r>
    </w:p>
  </w:footnote>
  <w:footnote w:id="163">
    <w:p w14:paraId="7B6708D4" w14:textId="77777777" w:rsidR="00D02193" w:rsidRPr="00030B54" w:rsidRDefault="00D02193" w:rsidP="00561000">
      <w:pPr>
        <w:pStyle w:val="FootnoteText"/>
        <w:rPr>
          <w:rFonts w:cs="Arial"/>
          <w:szCs w:val="16"/>
        </w:rPr>
      </w:pPr>
      <w:r w:rsidRPr="00030B54">
        <w:rPr>
          <w:rStyle w:val="FootnoteReference"/>
          <w:rFonts w:cs="Arial"/>
          <w:szCs w:val="16"/>
        </w:rPr>
        <w:footnoteRef/>
      </w:r>
      <w:r w:rsidRPr="00030B54">
        <w:rPr>
          <w:rFonts w:cs="Arial"/>
          <w:szCs w:val="16"/>
        </w:rPr>
        <w:t xml:space="preserve"> AIHW, </w:t>
      </w:r>
      <w:r w:rsidRPr="00030B54">
        <w:rPr>
          <w:rFonts w:cs="Arial"/>
          <w:i/>
          <w:iCs/>
          <w:szCs w:val="16"/>
        </w:rPr>
        <w:t xml:space="preserve">Young people in </w:t>
      </w:r>
      <w:proofErr w:type="spellStart"/>
      <w:r w:rsidRPr="00030B54">
        <w:rPr>
          <w:rFonts w:cs="Arial"/>
          <w:i/>
          <w:iCs/>
          <w:szCs w:val="16"/>
        </w:rPr>
        <w:t>unsentenced</w:t>
      </w:r>
      <w:proofErr w:type="spellEnd"/>
      <w:r w:rsidRPr="00030B54">
        <w:rPr>
          <w:rFonts w:cs="Arial"/>
          <w:i/>
          <w:iCs/>
          <w:szCs w:val="16"/>
        </w:rPr>
        <w:t xml:space="preserve"> detention: 2014–15</w:t>
      </w:r>
      <w:r w:rsidRPr="00030B54">
        <w:rPr>
          <w:rFonts w:cs="Arial"/>
          <w:szCs w:val="16"/>
        </w:rPr>
        <w:t xml:space="preserve">, Youth justice fact sheet no. 67, </w:t>
      </w:r>
      <w:r w:rsidRPr="00030B54">
        <w:rPr>
          <w:rFonts w:cs="Arial"/>
          <w:color w:val="332E29"/>
          <w:szCs w:val="16"/>
          <w:shd w:val="clear" w:color="auto" w:fill="FFFFFF"/>
        </w:rPr>
        <w:t>AIHW August 2016.</w:t>
      </w:r>
    </w:p>
  </w:footnote>
  <w:footnote w:id="164">
    <w:p w14:paraId="66A9C585" w14:textId="50BE30CA" w:rsidR="00D02193" w:rsidRPr="00030B54" w:rsidRDefault="00D02193" w:rsidP="00561000">
      <w:pPr>
        <w:spacing w:before="0" w:after="0" w:line="240" w:lineRule="auto"/>
        <w:rPr>
          <w:sz w:val="16"/>
          <w:szCs w:val="16"/>
        </w:rPr>
      </w:pPr>
      <w:r w:rsidRPr="00030B54">
        <w:rPr>
          <w:rStyle w:val="FootnoteReference"/>
          <w:sz w:val="16"/>
          <w:szCs w:val="16"/>
        </w:rPr>
        <w:footnoteRef/>
      </w:r>
      <w:r w:rsidRPr="00030B54">
        <w:rPr>
          <w:sz w:val="16"/>
          <w:szCs w:val="16"/>
        </w:rPr>
        <w:t xml:space="preserve"> Jesuit </w:t>
      </w:r>
      <w:r>
        <w:rPr>
          <w:sz w:val="16"/>
          <w:szCs w:val="16"/>
        </w:rPr>
        <w:t>S</w:t>
      </w:r>
      <w:r w:rsidRPr="00030B54">
        <w:rPr>
          <w:sz w:val="16"/>
          <w:szCs w:val="16"/>
        </w:rPr>
        <w:t xml:space="preserve">ocial </w:t>
      </w:r>
      <w:r>
        <w:rPr>
          <w:sz w:val="16"/>
          <w:szCs w:val="16"/>
        </w:rPr>
        <w:t>S</w:t>
      </w:r>
      <w:r w:rsidRPr="00030B54">
        <w:rPr>
          <w:sz w:val="16"/>
          <w:szCs w:val="16"/>
        </w:rPr>
        <w:t xml:space="preserve">ervices, </w:t>
      </w:r>
      <w:r w:rsidRPr="00C93A62">
        <w:rPr>
          <w:i/>
          <w:sz w:val="16"/>
          <w:szCs w:val="16"/>
        </w:rPr>
        <w:t>An escalating problem: Responding to the increased remand of children in Victoria</w:t>
      </w:r>
      <w:r w:rsidRPr="00030B54">
        <w:rPr>
          <w:sz w:val="16"/>
          <w:szCs w:val="16"/>
        </w:rPr>
        <w:t xml:space="preserve">, JSS, </w:t>
      </w:r>
      <w:proofErr w:type="gramStart"/>
      <w:r w:rsidRPr="00030B54">
        <w:rPr>
          <w:sz w:val="16"/>
          <w:szCs w:val="16"/>
        </w:rPr>
        <w:t>October</w:t>
      </w:r>
      <w:proofErr w:type="gramEnd"/>
      <w:r w:rsidRPr="00030B54">
        <w:rPr>
          <w:sz w:val="16"/>
          <w:szCs w:val="16"/>
        </w:rPr>
        <w:t xml:space="preserve"> 2015.</w:t>
      </w:r>
    </w:p>
  </w:footnote>
  <w:footnote w:id="165">
    <w:p w14:paraId="26F82E86" w14:textId="77777777" w:rsidR="00D02193" w:rsidRPr="00030B54" w:rsidRDefault="00D02193" w:rsidP="00561000">
      <w:pPr>
        <w:pStyle w:val="FootnoteText"/>
        <w:rPr>
          <w:rFonts w:cs="Arial"/>
          <w:szCs w:val="16"/>
        </w:rPr>
      </w:pPr>
      <w:r w:rsidRPr="00030B54">
        <w:rPr>
          <w:rStyle w:val="FootnoteReference"/>
          <w:rFonts w:cs="Arial"/>
          <w:szCs w:val="16"/>
        </w:rPr>
        <w:footnoteRef/>
      </w:r>
      <w:r w:rsidRPr="00030B54">
        <w:rPr>
          <w:rFonts w:cs="Arial"/>
          <w:szCs w:val="16"/>
        </w:rPr>
        <w:t xml:space="preserve"> Sentencing Advisory Council, </w:t>
      </w:r>
      <w:r w:rsidRPr="00C93A62">
        <w:rPr>
          <w:rFonts w:cs="Arial"/>
          <w:i/>
          <w:szCs w:val="16"/>
        </w:rPr>
        <w:t>Sentencing Children in Victoria: Data Update Report, Sentencing Advisory Council</w:t>
      </w:r>
      <w:r w:rsidRPr="00030B54">
        <w:rPr>
          <w:rFonts w:cs="Arial"/>
          <w:szCs w:val="16"/>
        </w:rPr>
        <w:t>, Melbourne,</w:t>
      </w:r>
    </w:p>
    <w:p w14:paraId="1A1D83A1" w14:textId="77777777" w:rsidR="00D02193" w:rsidRPr="00030B54" w:rsidRDefault="00D02193" w:rsidP="00561000">
      <w:pPr>
        <w:pStyle w:val="FootnoteText"/>
        <w:rPr>
          <w:rFonts w:cs="Arial"/>
          <w:szCs w:val="16"/>
        </w:rPr>
      </w:pPr>
      <w:r w:rsidRPr="00030B54">
        <w:rPr>
          <w:rFonts w:cs="Arial"/>
          <w:szCs w:val="16"/>
        </w:rPr>
        <w:t>July 2016</w:t>
      </w:r>
    </w:p>
  </w:footnote>
  <w:footnote w:id="166">
    <w:p w14:paraId="1A0B6D3D" w14:textId="77777777" w:rsidR="00D02193" w:rsidRPr="00923D8D" w:rsidRDefault="00D02193" w:rsidP="00561000">
      <w:pPr>
        <w:pStyle w:val="FootnoteText"/>
        <w:rPr>
          <w:rFonts w:cs="Arial"/>
          <w:szCs w:val="16"/>
        </w:rPr>
      </w:pPr>
      <w:r w:rsidRPr="00030B54">
        <w:rPr>
          <w:rStyle w:val="FootnoteReference"/>
          <w:rFonts w:cs="Arial"/>
          <w:szCs w:val="16"/>
        </w:rPr>
        <w:footnoteRef/>
      </w:r>
      <w:r w:rsidRPr="00030B54">
        <w:rPr>
          <w:rFonts w:cs="Arial"/>
          <w:szCs w:val="16"/>
        </w:rPr>
        <w:t xml:space="preserve"> Smart Justice for Young People, </w:t>
      </w:r>
      <w:r w:rsidRPr="00C93A62">
        <w:rPr>
          <w:rFonts w:cs="Arial"/>
          <w:i/>
          <w:szCs w:val="16"/>
        </w:rPr>
        <w:t>Less young people being sentenced to youth detention, but an unacceptable number of young people are in detention on remand</w:t>
      </w:r>
      <w:r w:rsidRPr="00030B54">
        <w:rPr>
          <w:rFonts w:cs="Arial"/>
          <w:szCs w:val="16"/>
        </w:rPr>
        <w:t>, August 2014.</w:t>
      </w:r>
      <w:r w:rsidRPr="00923D8D">
        <w:rPr>
          <w:rFonts w:cs="Arial"/>
          <w:szCs w:val="16"/>
        </w:rPr>
        <w:t xml:space="preserve"> </w:t>
      </w:r>
    </w:p>
  </w:footnote>
  <w:footnote w:id="167">
    <w:p w14:paraId="29738D6C" w14:textId="77777777" w:rsidR="00D02193" w:rsidRPr="00561000" w:rsidRDefault="00D02193" w:rsidP="00561000">
      <w:pPr>
        <w:spacing w:before="0" w:after="0" w:line="240" w:lineRule="auto"/>
        <w:rPr>
          <w:sz w:val="16"/>
          <w:szCs w:val="16"/>
        </w:rPr>
      </w:pPr>
      <w:r w:rsidRPr="00561000">
        <w:rPr>
          <w:rStyle w:val="FootnoteReference"/>
          <w:sz w:val="16"/>
          <w:szCs w:val="16"/>
        </w:rPr>
        <w:footnoteRef/>
      </w:r>
      <w:r w:rsidRPr="00561000">
        <w:rPr>
          <w:sz w:val="16"/>
          <w:szCs w:val="16"/>
        </w:rPr>
        <w:t xml:space="preserve"> Victorian Ombudsman, </w:t>
      </w:r>
      <w:r w:rsidRPr="00561000">
        <w:rPr>
          <w:i/>
          <w:sz w:val="16"/>
          <w:szCs w:val="16"/>
        </w:rPr>
        <w:t>Report on youth justice facilities at the Grevillea unit of Barwon Prison, Malmsbury and Parkville</w:t>
      </w:r>
      <w:r w:rsidRPr="00561000">
        <w:rPr>
          <w:sz w:val="16"/>
          <w:szCs w:val="16"/>
        </w:rPr>
        <w:t>, February 2017, p. 3.</w:t>
      </w:r>
    </w:p>
  </w:footnote>
  <w:footnote w:id="168">
    <w:p w14:paraId="43C74742" w14:textId="5FBA7301" w:rsidR="00D02193" w:rsidRDefault="00D02193" w:rsidP="004E2C9E">
      <w:pPr>
        <w:autoSpaceDE w:val="0"/>
        <w:autoSpaceDN w:val="0"/>
        <w:adjustRightInd w:val="0"/>
        <w:spacing w:before="0" w:after="0" w:line="240" w:lineRule="auto"/>
      </w:pPr>
      <w:r w:rsidRPr="001213E5">
        <w:rPr>
          <w:rStyle w:val="FootnoteReference"/>
          <w:sz w:val="16"/>
          <w:szCs w:val="16"/>
        </w:rPr>
        <w:footnoteRef/>
      </w:r>
      <w:r w:rsidRPr="001213E5">
        <w:rPr>
          <w:sz w:val="16"/>
          <w:szCs w:val="16"/>
        </w:rPr>
        <w:t xml:space="preserve"> </w:t>
      </w:r>
      <w:r w:rsidRPr="004E2C9E">
        <w:rPr>
          <w:sz w:val="16"/>
          <w:szCs w:val="16"/>
          <w:lang w:val="en-AU"/>
        </w:rPr>
        <w:t>Sentencing Advisory Council</w:t>
      </w:r>
      <w:r w:rsidRPr="004E2C9E">
        <w:rPr>
          <w:sz w:val="16"/>
          <w:szCs w:val="16"/>
        </w:rPr>
        <w:t xml:space="preserve">, </w:t>
      </w:r>
      <w:r w:rsidRPr="004E2C9E">
        <w:rPr>
          <w:i/>
          <w:sz w:val="16"/>
          <w:szCs w:val="16"/>
          <w:lang w:val="en-AU"/>
        </w:rPr>
        <w:t xml:space="preserve">Sentencing Children </w:t>
      </w:r>
      <w:r w:rsidRPr="004E2C9E">
        <w:rPr>
          <w:i/>
          <w:sz w:val="16"/>
          <w:szCs w:val="16"/>
        </w:rPr>
        <w:t>and Young People in Victoria</w:t>
      </w:r>
      <w:r w:rsidRPr="004E2C9E">
        <w:rPr>
          <w:sz w:val="16"/>
          <w:szCs w:val="16"/>
        </w:rPr>
        <w:t>, April 2012</w:t>
      </w:r>
      <w:r>
        <w:rPr>
          <w:sz w:val="16"/>
          <w:szCs w:val="16"/>
        </w:rPr>
        <w:t>.</w:t>
      </w:r>
    </w:p>
  </w:footnote>
  <w:footnote w:id="169">
    <w:p w14:paraId="2BEDD241" w14:textId="77777777" w:rsidR="00D02193" w:rsidRPr="00030B54" w:rsidRDefault="00D02193" w:rsidP="00D61C71">
      <w:pPr>
        <w:spacing w:before="0" w:after="0" w:line="240" w:lineRule="auto"/>
        <w:rPr>
          <w:sz w:val="16"/>
          <w:szCs w:val="16"/>
        </w:rPr>
      </w:pPr>
      <w:r w:rsidRPr="00030B54">
        <w:rPr>
          <w:rStyle w:val="FootnoteReference"/>
          <w:sz w:val="16"/>
          <w:szCs w:val="16"/>
        </w:rPr>
        <w:footnoteRef/>
      </w:r>
      <w:r w:rsidRPr="00030B54">
        <w:rPr>
          <w:sz w:val="16"/>
          <w:szCs w:val="16"/>
        </w:rPr>
        <w:t xml:space="preserve"> Jesuit </w:t>
      </w:r>
      <w:r>
        <w:rPr>
          <w:sz w:val="16"/>
          <w:szCs w:val="16"/>
        </w:rPr>
        <w:t>S</w:t>
      </w:r>
      <w:r w:rsidRPr="00030B54">
        <w:rPr>
          <w:sz w:val="16"/>
          <w:szCs w:val="16"/>
        </w:rPr>
        <w:t xml:space="preserve">ocial </w:t>
      </w:r>
      <w:r>
        <w:rPr>
          <w:sz w:val="16"/>
          <w:szCs w:val="16"/>
        </w:rPr>
        <w:t>S</w:t>
      </w:r>
      <w:r w:rsidRPr="00030B54">
        <w:rPr>
          <w:sz w:val="16"/>
          <w:szCs w:val="16"/>
        </w:rPr>
        <w:t xml:space="preserve">ervices, </w:t>
      </w:r>
      <w:r w:rsidRPr="00C93A62">
        <w:rPr>
          <w:i/>
          <w:sz w:val="16"/>
          <w:szCs w:val="16"/>
        </w:rPr>
        <w:t>An escalating problem: Responding to the increased remand of children in Victoria</w:t>
      </w:r>
      <w:r w:rsidRPr="00030B54">
        <w:rPr>
          <w:sz w:val="16"/>
          <w:szCs w:val="16"/>
        </w:rPr>
        <w:t xml:space="preserve">, JSS, </w:t>
      </w:r>
      <w:proofErr w:type="gramStart"/>
      <w:r w:rsidRPr="00030B54">
        <w:rPr>
          <w:sz w:val="16"/>
          <w:szCs w:val="16"/>
        </w:rPr>
        <w:t>October</w:t>
      </w:r>
      <w:proofErr w:type="gramEnd"/>
      <w:r w:rsidRPr="00030B54">
        <w:rPr>
          <w:sz w:val="16"/>
          <w:szCs w:val="16"/>
        </w:rPr>
        <w:t xml:space="preserve"> 2015.</w:t>
      </w:r>
    </w:p>
  </w:footnote>
  <w:footnote w:id="170">
    <w:p w14:paraId="3E0409EC" w14:textId="77777777" w:rsidR="00D02193" w:rsidRPr="00030B54" w:rsidRDefault="00D02193" w:rsidP="008527CD">
      <w:pPr>
        <w:spacing w:before="0" w:after="0" w:line="240" w:lineRule="auto"/>
        <w:rPr>
          <w:rFonts w:eastAsia="Times New Roman"/>
          <w:sz w:val="16"/>
          <w:szCs w:val="16"/>
        </w:rPr>
      </w:pPr>
      <w:r w:rsidRPr="00030B54">
        <w:rPr>
          <w:rStyle w:val="FootnoteReference"/>
          <w:sz w:val="16"/>
          <w:szCs w:val="16"/>
        </w:rPr>
        <w:footnoteRef/>
      </w:r>
      <w:r w:rsidRPr="00030B54">
        <w:rPr>
          <w:sz w:val="16"/>
          <w:szCs w:val="16"/>
        </w:rPr>
        <w:t xml:space="preserve"> K Richards and L Renshaw, </w:t>
      </w:r>
      <w:r w:rsidRPr="00183EB7">
        <w:rPr>
          <w:i/>
          <w:sz w:val="16"/>
          <w:szCs w:val="16"/>
        </w:rPr>
        <w:t>Bail and remand for young people in Australia: A national research project</w:t>
      </w:r>
      <w:r w:rsidRPr="00030B54">
        <w:rPr>
          <w:sz w:val="16"/>
          <w:szCs w:val="16"/>
        </w:rPr>
        <w:t xml:space="preserve">, AIC Reports, Research and Public Policy Series 125, </w:t>
      </w:r>
      <w:r w:rsidRPr="00030B54">
        <w:rPr>
          <w:rFonts w:eastAsia="Times New Roman"/>
          <w:sz w:val="16"/>
          <w:szCs w:val="16"/>
        </w:rPr>
        <w:t xml:space="preserve">Australian Institute of Criminology, </w:t>
      </w:r>
      <w:r w:rsidRPr="00030B54">
        <w:rPr>
          <w:sz w:val="16"/>
          <w:szCs w:val="16"/>
        </w:rPr>
        <w:t>Canberra,</w:t>
      </w:r>
      <w:r w:rsidRPr="00030B54">
        <w:rPr>
          <w:rFonts w:eastAsia="Times New Roman"/>
          <w:sz w:val="16"/>
          <w:szCs w:val="16"/>
        </w:rPr>
        <w:t xml:space="preserve"> 2013. </w:t>
      </w:r>
    </w:p>
  </w:footnote>
  <w:footnote w:id="171">
    <w:p w14:paraId="00EC884D" w14:textId="77777777" w:rsidR="00D02193" w:rsidRPr="00561000" w:rsidRDefault="00D02193" w:rsidP="00561000">
      <w:pPr>
        <w:spacing w:before="0" w:after="0" w:line="240" w:lineRule="auto"/>
        <w:rPr>
          <w:rFonts w:asciiTheme="minorBidi" w:eastAsia="Times New Roman" w:hAnsiTheme="minorBidi"/>
          <w:sz w:val="16"/>
          <w:szCs w:val="16"/>
        </w:rPr>
      </w:pPr>
      <w:r w:rsidRPr="00561000">
        <w:rPr>
          <w:rStyle w:val="FootnoteReference"/>
          <w:sz w:val="16"/>
          <w:szCs w:val="16"/>
        </w:rPr>
        <w:footnoteRef/>
      </w:r>
      <w:r w:rsidRPr="00561000">
        <w:rPr>
          <w:sz w:val="16"/>
          <w:szCs w:val="16"/>
        </w:rPr>
        <w:t xml:space="preserve"> </w:t>
      </w:r>
      <w:r w:rsidRPr="00561000">
        <w:rPr>
          <w:rFonts w:asciiTheme="minorBidi" w:hAnsiTheme="minorBidi"/>
          <w:sz w:val="16"/>
          <w:szCs w:val="16"/>
        </w:rPr>
        <w:t xml:space="preserve">K Richards and L Renshaw, </w:t>
      </w:r>
      <w:r w:rsidRPr="00C93A62">
        <w:rPr>
          <w:rFonts w:asciiTheme="minorBidi" w:hAnsiTheme="minorBidi"/>
          <w:i/>
          <w:sz w:val="16"/>
          <w:szCs w:val="16"/>
        </w:rPr>
        <w:t>Bail and remand for young people in Australia: A national research project</w:t>
      </w:r>
      <w:r w:rsidRPr="00561000">
        <w:rPr>
          <w:rFonts w:asciiTheme="minorBidi" w:hAnsiTheme="minorBidi"/>
          <w:sz w:val="16"/>
          <w:szCs w:val="16"/>
        </w:rPr>
        <w:t xml:space="preserve">, AIC Reports, Research and Public Policy Series 125, </w:t>
      </w:r>
      <w:r w:rsidRPr="00561000">
        <w:rPr>
          <w:rFonts w:asciiTheme="minorBidi" w:eastAsia="Times New Roman" w:hAnsiTheme="minorBidi"/>
          <w:sz w:val="16"/>
          <w:szCs w:val="16"/>
        </w:rPr>
        <w:t xml:space="preserve">Australian Institute of Criminology, </w:t>
      </w:r>
      <w:r w:rsidRPr="00561000">
        <w:rPr>
          <w:rFonts w:asciiTheme="minorBidi" w:hAnsiTheme="minorBidi"/>
          <w:sz w:val="16"/>
          <w:szCs w:val="16"/>
        </w:rPr>
        <w:t>Canberra,</w:t>
      </w:r>
      <w:r w:rsidRPr="00561000">
        <w:rPr>
          <w:rFonts w:asciiTheme="minorBidi" w:eastAsia="Times New Roman" w:hAnsiTheme="minorBidi"/>
          <w:sz w:val="16"/>
          <w:szCs w:val="16"/>
        </w:rPr>
        <w:t xml:space="preserve"> 2013.</w:t>
      </w:r>
    </w:p>
  </w:footnote>
  <w:footnote w:id="172">
    <w:p w14:paraId="0D359BC9" w14:textId="77777777" w:rsidR="00D02193" w:rsidRPr="0009745C" w:rsidRDefault="00D02193" w:rsidP="00561000">
      <w:pPr>
        <w:pStyle w:val="FootnoteText"/>
        <w:rPr>
          <w:lang w:val="en-US"/>
        </w:rPr>
      </w:pPr>
      <w:r w:rsidRPr="00561000">
        <w:rPr>
          <w:rStyle w:val="FootnoteReference"/>
          <w:szCs w:val="16"/>
        </w:rPr>
        <w:footnoteRef/>
      </w:r>
      <w:r w:rsidRPr="00561000">
        <w:rPr>
          <w:szCs w:val="16"/>
        </w:rPr>
        <w:t xml:space="preserve"> B Holman and J </w:t>
      </w:r>
      <w:proofErr w:type="spellStart"/>
      <w:r w:rsidRPr="00561000">
        <w:rPr>
          <w:szCs w:val="16"/>
        </w:rPr>
        <w:t>Ziedenberg</w:t>
      </w:r>
      <w:proofErr w:type="spellEnd"/>
      <w:r w:rsidRPr="00561000">
        <w:rPr>
          <w:szCs w:val="16"/>
        </w:rPr>
        <w:t xml:space="preserve">, </w:t>
      </w:r>
      <w:r w:rsidRPr="00C93A62">
        <w:rPr>
          <w:i/>
          <w:szCs w:val="16"/>
        </w:rPr>
        <w:t>The Dangers of Detention: The Impact of Incarcerating Youth in Detention and Other Secure Facilities</w:t>
      </w:r>
      <w:r w:rsidRPr="00561000">
        <w:rPr>
          <w:szCs w:val="16"/>
        </w:rPr>
        <w:t xml:space="preserve">, Juvenile policy institute, 2013.  </w:t>
      </w:r>
    </w:p>
  </w:footnote>
  <w:footnote w:id="173">
    <w:p w14:paraId="5CA62F22" w14:textId="77777777" w:rsidR="00D02193" w:rsidRPr="00561000" w:rsidRDefault="00D02193" w:rsidP="00561000">
      <w:pPr>
        <w:spacing w:before="0" w:after="0" w:line="240" w:lineRule="auto"/>
        <w:rPr>
          <w:rFonts w:asciiTheme="minorBidi" w:eastAsia="Times New Roman" w:hAnsiTheme="minorBidi"/>
          <w:sz w:val="16"/>
          <w:szCs w:val="16"/>
        </w:rPr>
      </w:pPr>
      <w:r w:rsidRPr="00561000">
        <w:rPr>
          <w:rStyle w:val="FootnoteReference"/>
          <w:sz w:val="16"/>
          <w:szCs w:val="16"/>
        </w:rPr>
        <w:footnoteRef/>
      </w:r>
      <w:r w:rsidRPr="00561000">
        <w:rPr>
          <w:sz w:val="16"/>
          <w:szCs w:val="16"/>
        </w:rPr>
        <w:t xml:space="preserve"> </w:t>
      </w:r>
      <w:r w:rsidRPr="00561000">
        <w:rPr>
          <w:rFonts w:asciiTheme="minorBidi" w:hAnsiTheme="minorBidi"/>
          <w:sz w:val="16"/>
          <w:szCs w:val="16"/>
        </w:rPr>
        <w:t xml:space="preserve">K Richards and L Renshaw, </w:t>
      </w:r>
      <w:r w:rsidRPr="00C93A62">
        <w:rPr>
          <w:rFonts w:asciiTheme="minorBidi" w:hAnsiTheme="minorBidi"/>
          <w:i/>
          <w:sz w:val="16"/>
          <w:szCs w:val="16"/>
        </w:rPr>
        <w:t>Bail and remand for young people in Australia: A national research project,</w:t>
      </w:r>
      <w:r w:rsidRPr="00561000">
        <w:rPr>
          <w:rFonts w:asciiTheme="minorBidi" w:hAnsiTheme="minorBidi"/>
          <w:sz w:val="16"/>
          <w:szCs w:val="16"/>
        </w:rPr>
        <w:t xml:space="preserve"> AIC Reports, Research and Public Policy Series 125, </w:t>
      </w:r>
      <w:r w:rsidRPr="00561000">
        <w:rPr>
          <w:rFonts w:asciiTheme="minorBidi" w:eastAsia="Times New Roman" w:hAnsiTheme="minorBidi"/>
          <w:sz w:val="16"/>
          <w:szCs w:val="16"/>
        </w:rPr>
        <w:t xml:space="preserve">Australian Institute of Criminology, </w:t>
      </w:r>
      <w:r w:rsidRPr="00561000">
        <w:rPr>
          <w:rFonts w:asciiTheme="minorBidi" w:hAnsiTheme="minorBidi"/>
          <w:sz w:val="16"/>
          <w:szCs w:val="16"/>
        </w:rPr>
        <w:t>Canberra,</w:t>
      </w:r>
      <w:r w:rsidRPr="00561000">
        <w:rPr>
          <w:rFonts w:asciiTheme="minorBidi" w:eastAsia="Times New Roman" w:hAnsiTheme="minorBidi"/>
          <w:sz w:val="16"/>
          <w:szCs w:val="16"/>
        </w:rPr>
        <w:t xml:space="preserve"> 2013.</w:t>
      </w:r>
    </w:p>
  </w:footnote>
  <w:footnote w:id="174">
    <w:p w14:paraId="6E6B0AC5" w14:textId="77777777" w:rsidR="00D02193" w:rsidRPr="00561000" w:rsidRDefault="00D02193" w:rsidP="00561000">
      <w:pPr>
        <w:spacing w:before="0" w:after="0" w:line="240" w:lineRule="auto"/>
        <w:rPr>
          <w:sz w:val="16"/>
          <w:szCs w:val="16"/>
        </w:rPr>
      </w:pPr>
      <w:r w:rsidRPr="00561000">
        <w:rPr>
          <w:rStyle w:val="FootnoteReference"/>
          <w:sz w:val="16"/>
          <w:szCs w:val="16"/>
        </w:rPr>
        <w:footnoteRef/>
      </w:r>
      <w:r w:rsidRPr="00561000">
        <w:rPr>
          <w:sz w:val="16"/>
          <w:szCs w:val="16"/>
        </w:rPr>
        <w:t xml:space="preserve"> Department of Health and Human Services, </w:t>
      </w:r>
      <w:r w:rsidRPr="00561000">
        <w:rPr>
          <w:i/>
          <w:iCs/>
          <w:sz w:val="16"/>
          <w:szCs w:val="16"/>
        </w:rPr>
        <w:t>Youth Parole Board Annual Report 2015–16</w:t>
      </w:r>
      <w:r w:rsidRPr="00561000">
        <w:rPr>
          <w:sz w:val="16"/>
          <w:szCs w:val="16"/>
        </w:rPr>
        <w:t>, Victorian Government, Melbourne, August, 2016.</w:t>
      </w:r>
    </w:p>
  </w:footnote>
  <w:footnote w:id="175">
    <w:p w14:paraId="11DAF313" w14:textId="77777777" w:rsidR="00D02193" w:rsidRPr="00030B54" w:rsidRDefault="00D02193" w:rsidP="00C93A62">
      <w:pPr>
        <w:spacing w:before="0" w:after="0" w:line="240" w:lineRule="auto"/>
        <w:rPr>
          <w:sz w:val="16"/>
          <w:szCs w:val="16"/>
        </w:rPr>
      </w:pPr>
      <w:r w:rsidRPr="00030B54">
        <w:rPr>
          <w:rStyle w:val="FootnoteReference"/>
          <w:sz w:val="16"/>
          <w:szCs w:val="16"/>
        </w:rPr>
        <w:footnoteRef/>
      </w:r>
      <w:r w:rsidRPr="00030B54">
        <w:rPr>
          <w:sz w:val="16"/>
          <w:szCs w:val="16"/>
        </w:rPr>
        <w:t xml:space="preserve"> Jesuit </w:t>
      </w:r>
      <w:r>
        <w:rPr>
          <w:sz w:val="16"/>
          <w:szCs w:val="16"/>
        </w:rPr>
        <w:t>S</w:t>
      </w:r>
      <w:r w:rsidRPr="00030B54">
        <w:rPr>
          <w:sz w:val="16"/>
          <w:szCs w:val="16"/>
        </w:rPr>
        <w:t xml:space="preserve">ocial </w:t>
      </w:r>
      <w:r>
        <w:rPr>
          <w:sz w:val="16"/>
          <w:szCs w:val="16"/>
        </w:rPr>
        <w:t>S</w:t>
      </w:r>
      <w:r w:rsidRPr="00030B54">
        <w:rPr>
          <w:sz w:val="16"/>
          <w:szCs w:val="16"/>
        </w:rPr>
        <w:t xml:space="preserve">ervices, </w:t>
      </w:r>
      <w:r w:rsidRPr="00C93A62">
        <w:rPr>
          <w:i/>
          <w:sz w:val="16"/>
          <w:szCs w:val="16"/>
        </w:rPr>
        <w:t>An escalating problem: Responding to the increased remand of children in Victoria</w:t>
      </w:r>
      <w:r w:rsidRPr="00030B54">
        <w:rPr>
          <w:sz w:val="16"/>
          <w:szCs w:val="16"/>
        </w:rPr>
        <w:t xml:space="preserve">, JSS, </w:t>
      </w:r>
      <w:proofErr w:type="gramStart"/>
      <w:r w:rsidRPr="00030B54">
        <w:rPr>
          <w:sz w:val="16"/>
          <w:szCs w:val="16"/>
        </w:rPr>
        <w:t>October</w:t>
      </w:r>
      <w:proofErr w:type="gramEnd"/>
      <w:r w:rsidRPr="00030B54">
        <w:rPr>
          <w:sz w:val="16"/>
          <w:szCs w:val="16"/>
        </w:rPr>
        <w:t xml:space="preserve"> 2015.</w:t>
      </w:r>
    </w:p>
  </w:footnote>
  <w:footnote w:id="176">
    <w:p w14:paraId="76BC2E6A" w14:textId="77777777" w:rsidR="00D02193" w:rsidRPr="00561000" w:rsidRDefault="00D02193" w:rsidP="00561000">
      <w:pPr>
        <w:pStyle w:val="FootnoteText"/>
        <w:rPr>
          <w:szCs w:val="16"/>
        </w:rPr>
      </w:pPr>
      <w:r w:rsidRPr="00561000">
        <w:rPr>
          <w:rStyle w:val="FootnoteReference"/>
          <w:szCs w:val="16"/>
        </w:rPr>
        <w:footnoteRef/>
      </w:r>
      <w:r w:rsidRPr="00561000">
        <w:rPr>
          <w:szCs w:val="16"/>
        </w:rPr>
        <w:t xml:space="preserve"> A Roy, B McGill and L </w:t>
      </w:r>
      <w:proofErr w:type="spellStart"/>
      <w:r w:rsidRPr="00561000">
        <w:rPr>
          <w:szCs w:val="16"/>
        </w:rPr>
        <w:t>Fenn</w:t>
      </w:r>
      <w:proofErr w:type="spellEnd"/>
      <w:r w:rsidRPr="00561000">
        <w:rPr>
          <w:szCs w:val="16"/>
        </w:rPr>
        <w:t xml:space="preserve">, </w:t>
      </w:r>
      <w:r w:rsidRPr="00561000">
        <w:rPr>
          <w:i/>
          <w:iCs/>
          <w:szCs w:val="16"/>
        </w:rPr>
        <w:t>Children &amp; young people with complex needs in the ACT youth justice system: Criminal justice responses to mental health conditions, cognitive disability, drug &amp; alcohol disorders, and childhood trauma</w:t>
      </w:r>
      <w:r w:rsidRPr="00561000">
        <w:rPr>
          <w:szCs w:val="16"/>
        </w:rPr>
        <w:t>, Office of the ACT Children &amp; Young People Commissioner, March 2010</w:t>
      </w:r>
    </w:p>
  </w:footnote>
  <w:footnote w:id="177">
    <w:p w14:paraId="3DB910E5" w14:textId="77777777" w:rsidR="00D02193" w:rsidRPr="00030B54" w:rsidRDefault="00D02193" w:rsidP="00C93A62">
      <w:pPr>
        <w:spacing w:before="0" w:after="0" w:line="240" w:lineRule="auto"/>
        <w:rPr>
          <w:sz w:val="16"/>
          <w:szCs w:val="16"/>
        </w:rPr>
      </w:pPr>
      <w:r w:rsidRPr="00030B54">
        <w:rPr>
          <w:rStyle w:val="FootnoteReference"/>
          <w:sz w:val="16"/>
          <w:szCs w:val="16"/>
        </w:rPr>
        <w:footnoteRef/>
      </w:r>
      <w:r w:rsidRPr="00030B54">
        <w:rPr>
          <w:sz w:val="16"/>
          <w:szCs w:val="16"/>
        </w:rPr>
        <w:t xml:space="preserve"> Jesuit </w:t>
      </w:r>
      <w:r>
        <w:rPr>
          <w:sz w:val="16"/>
          <w:szCs w:val="16"/>
        </w:rPr>
        <w:t>S</w:t>
      </w:r>
      <w:r w:rsidRPr="00030B54">
        <w:rPr>
          <w:sz w:val="16"/>
          <w:szCs w:val="16"/>
        </w:rPr>
        <w:t xml:space="preserve">ocial </w:t>
      </w:r>
      <w:r>
        <w:rPr>
          <w:sz w:val="16"/>
          <w:szCs w:val="16"/>
        </w:rPr>
        <w:t>S</w:t>
      </w:r>
      <w:r w:rsidRPr="00030B54">
        <w:rPr>
          <w:sz w:val="16"/>
          <w:szCs w:val="16"/>
        </w:rPr>
        <w:t xml:space="preserve">ervices, </w:t>
      </w:r>
      <w:r w:rsidRPr="00C93A62">
        <w:rPr>
          <w:i/>
          <w:sz w:val="16"/>
          <w:szCs w:val="16"/>
        </w:rPr>
        <w:t>An escalating problem: Responding to the increased remand of children in Victoria</w:t>
      </w:r>
      <w:r w:rsidRPr="00030B54">
        <w:rPr>
          <w:sz w:val="16"/>
          <w:szCs w:val="16"/>
        </w:rPr>
        <w:t xml:space="preserve">, JSS, </w:t>
      </w:r>
      <w:proofErr w:type="gramStart"/>
      <w:r w:rsidRPr="00030B54">
        <w:rPr>
          <w:sz w:val="16"/>
          <w:szCs w:val="16"/>
        </w:rPr>
        <w:t>October</w:t>
      </w:r>
      <w:proofErr w:type="gramEnd"/>
      <w:r w:rsidRPr="00030B54">
        <w:rPr>
          <w:sz w:val="16"/>
          <w:szCs w:val="16"/>
        </w:rPr>
        <w:t xml:space="preserve"> 2015.</w:t>
      </w:r>
    </w:p>
  </w:footnote>
  <w:footnote w:id="178">
    <w:p w14:paraId="2FC77650" w14:textId="77777777" w:rsidR="00D02193" w:rsidRPr="00007309" w:rsidRDefault="00D02193" w:rsidP="007B1409">
      <w:pPr>
        <w:spacing w:before="0" w:after="0" w:line="240" w:lineRule="auto"/>
        <w:rPr>
          <w:rFonts w:asciiTheme="minorBidi" w:hAnsiTheme="minorBidi"/>
          <w:sz w:val="16"/>
          <w:szCs w:val="16"/>
        </w:rPr>
      </w:pPr>
      <w:r w:rsidRPr="00561000">
        <w:rPr>
          <w:rStyle w:val="FootnoteReference"/>
          <w:rFonts w:asciiTheme="minorBidi" w:hAnsiTheme="minorBidi"/>
          <w:sz w:val="16"/>
          <w:szCs w:val="16"/>
        </w:rPr>
        <w:footnoteRef/>
      </w:r>
      <w:r w:rsidRPr="00561000">
        <w:rPr>
          <w:rFonts w:asciiTheme="minorBidi" w:hAnsiTheme="minorBidi"/>
          <w:sz w:val="16"/>
          <w:szCs w:val="16"/>
        </w:rPr>
        <w:t xml:space="preserve"> Ombudsman Victoria, </w:t>
      </w:r>
      <w:r w:rsidRPr="00561000">
        <w:rPr>
          <w:rFonts w:asciiTheme="minorBidi" w:hAnsiTheme="minorBidi"/>
          <w:i/>
          <w:iCs/>
          <w:sz w:val="16"/>
          <w:szCs w:val="16"/>
        </w:rPr>
        <w:t>Whistleblowers Protection Act 2001 Investigation into conditions at the Melbourne Youth Justice Precinct</w:t>
      </w:r>
      <w:r w:rsidRPr="00561000">
        <w:rPr>
          <w:rFonts w:asciiTheme="minorBidi" w:hAnsiTheme="minorBidi"/>
          <w:sz w:val="16"/>
          <w:szCs w:val="16"/>
        </w:rPr>
        <w:t>, October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911677"/>
      <w:docPartObj>
        <w:docPartGallery w:val="Page Numbers (Top of Page)"/>
        <w:docPartUnique/>
      </w:docPartObj>
    </w:sdtPr>
    <w:sdtEndPr>
      <w:rPr>
        <w:noProof/>
      </w:rPr>
    </w:sdtEndPr>
    <w:sdtContent>
      <w:p w14:paraId="0A9EED88" w14:textId="77777777" w:rsidR="00D02193" w:rsidRDefault="00D02193" w:rsidP="00CE5762">
        <w:pPr>
          <w:pStyle w:val="Header"/>
        </w:pPr>
        <w:r>
          <w:fldChar w:fldCharType="begin"/>
        </w:r>
        <w:r>
          <w:instrText xml:space="preserve"> PAGE   \* MERGEFORMAT </w:instrText>
        </w:r>
        <w:r>
          <w:fldChar w:fldCharType="separate"/>
        </w:r>
        <w:r>
          <w:rPr>
            <w:noProof/>
          </w:rPr>
          <w:t>4</w:t>
        </w:r>
        <w:r>
          <w:rPr>
            <w:noProof/>
          </w:rPr>
          <w:fldChar w:fldCharType="end"/>
        </w:r>
      </w:p>
    </w:sdtContent>
  </w:sdt>
  <w:p w14:paraId="0E0B42B7" w14:textId="77777777" w:rsidR="00D02193" w:rsidRDefault="00D02193" w:rsidP="00CE5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6AED" w14:textId="4265BBE1" w:rsidR="00D02193" w:rsidRDefault="00D02193" w:rsidP="00CE5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04B78"/>
    <w:multiLevelType w:val="hybridMultilevel"/>
    <w:tmpl w:val="E1A2A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432D31"/>
    <w:multiLevelType w:val="hybridMultilevel"/>
    <w:tmpl w:val="CF603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07A6E"/>
    <w:multiLevelType w:val="hybridMultilevel"/>
    <w:tmpl w:val="39387B2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A7647F6"/>
    <w:multiLevelType w:val="hybridMultilevel"/>
    <w:tmpl w:val="F18ABB9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1A7D520D"/>
    <w:multiLevelType w:val="hybridMultilevel"/>
    <w:tmpl w:val="1B4A2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2416A"/>
    <w:multiLevelType w:val="hybridMultilevel"/>
    <w:tmpl w:val="67B2B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3519F7"/>
    <w:multiLevelType w:val="hybridMultilevel"/>
    <w:tmpl w:val="ACDACF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280FF7"/>
    <w:multiLevelType w:val="hybridMultilevel"/>
    <w:tmpl w:val="6448A622"/>
    <w:lvl w:ilvl="0" w:tplc="0F965100">
      <w:start w:val="1"/>
      <w:numFmt w:val="bullet"/>
      <w:lvlText w:val="o"/>
      <w:lvlJc w:val="left"/>
      <w:pPr>
        <w:tabs>
          <w:tab w:val="num" w:pos="720"/>
        </w:tabs>
        <w:ind w:left="720" w:hanging="360"/>
      </w:pPr>
      <w:rPr>
        <w:rFonts w:ascii="Courier New" w:hAnsi="Courier New" w:hint="default"/>
      </w:rPr>
    </w:lvl>
    <w:lvl w:ilvl="1" w:tplc="00F40192" w:tentative="1">
      <w:start w:val="1"/>
      <w:numFmt w:val="bullet"/>
      <w:lvlText w:val="o"/>
      <w:lvlJc w:val="left"/>
      <w:pPr>
        <w:tabs>
          <w:tab w:val="num" w:pos="1440"/>
        </w:tabs>
        <w:ind w:left="1440" w:hanging="360"/>
      </w:pPr>
      <w:rPr>
        <w:rFonts w:ascii="Courier New" w:hAnsi="Courier New" w:hint="default"/>
      </w:rPr>
    </w:lvl>
    <w:lvl w:ilvl="2" w:tplc="89D403A4" w:tentative="1">
      <w:start w:val="1"/>
      <w:numFmt w:val="bullet"/>
      <w:lvlText w:val="o"/>
      <w:lvlJc w:val="left"/>
      <w:pPr>
        <w:tabs>
          <w:tab w:val="num" w:pos="2160"/>
        </w:tabs>
        <w:ind w:left="2160" w:hanging="360"/>
      </w:pPr>
      <w:rPr>
        <w:rFonts w:ascii="Courier New" w:hAnsi="Courier New" w:hint="default"/>
      </w:rPr>
    </w:lvl>
    <w:lvl w:ilvl="3" w:tplc="25C8D990" w:tentative="1">
      <w:start w:val="1"/>
      <w:numFmt w:val="bullet"/>
      <w:lvlText w:val="o"/>
      <w:lvlJc w:val="left"/>
      <w:pPr>
        <w:tabs>
          <w:tab w:val="num" w:pos="2880"/>
        </w:tabs>
        <w:ind w:left="2880" w:hanging="360"/>
      </w:pPr>
      <w:rPr>
        <w:rFonts w:ascii="Courier New" w:hAnsi="Courier New" w:hint="default"/>
      </w:rPr>
    </w:lvl>
    <w:lvl w:ilvl="4" w:tplc="1CC2A40A" w:tentative="1">
      <w:start w:val="1"/>
      <w:numFmt w:val="bullet"/>
      <w:lvlText w:val="o"/>
      <w:lvlJc w:val="left"/>
      <w:pPr>
        <w:tabs>
          <w:tab w:val="num" w:pos="3600"/>
        </w:tabs>
        <w:ind w:left="3600" w:hanging="360"/>
      </w:pPr>
      <w:rPr>
        <w:rFonts w:ascii="Courier New" w:hAnsi="Courier New" w:hint="default"/>
      </w:rPr>
    </w:lvl>
    <w:lvl w:ilvl="5" w:tplc="8740164C" w:tentative="1">
      <w:start w:val="1"/>
      <w:numFmt w:val="bullet"/>
      <w:lvlText w:val="o"/>
      <w:lvlJc w:val="left"/>
      <w:pPr>
        <w:tabs>
          <w:tab w:val="num" w:pos="4320"/>
        </w:tabs>
        <w:ind w:left="4320" w:hanging="360"/>
      </w:pPr>
      <w:rPr>
        <w:rFonts w:ascii="Courier New" w:hAnsi="Courier New" w:hint="default"/>
      </w:rPr>
    </w:lvl>
    <w:lvl w:ilvl="6" w:tplc="B31CD544" w:tentative="1">
      <w:start w:val="1"/>
      <w:numFmt w:val="bullet"/>
      <w:lvlText w:val="o"/>
      <w:lvlJc w:val="left"/>
      <w:pPr>
        <w:tabs>
          <w:tab w:val="num" w:pos="5040"/>
        </w:tabs>
        <w:ind w:left="5040" w:hanging="360"/>
      </w:pPr>
      <w:rPr>
        <w:rFonts w:ascii="Courier New" w:hAnsi="Courier New" w:hint="default"/>
      </w:rPr>
    </w:lvl>
    <w:lvl w:ilvl="7" w:tplc="44B06B62" w:tentative="1">
      <w:start w:val="1"/>
      <w:numFmt w:val="bullet"/>
      <w:lvlText w:val="o"/>
      <w:lvlJc w:val="left"/>
      <w:pPr>
        <w:tabs>
          <w:tab w:val="num" w:pos="5760"/>
        </w:tabs>
        <w:ind w:left="5760" w:hanging="360"/>
      </w:pPr>
      <w:rPr>
        <w:rFonts w:ascii="Courier New" w:hAnsi="Courier New" w:hint="default"/>
      </w:rPr>
    </w:lvl>
    <w:lvl w:ilvl="8" w:tplc="0DC81B3A"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E163BC7"/>
    <w:multiLevelType w:val="hybridMultilevel"/>
    <w:tmpl w:val="2788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6E19F5"/>
    <w:multiLevelType w:val="hybridMultilevel"/>
    <w:tmpl w:val="B27A6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D33370"/>
    <w:multiLevelType w:val="hybridMultilevel"/>
    <w:tmpl w:val="00004866"/>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1" w15:restartNumberingAfterBreak="0">
    <w:nsid w:val="44FD5DFF"/>
    <w:multiLevelType w:val="hybridMultilevel"/>
    <w:tmpl w:val="4ECC79EC"/>
    <w:lvl w:ilvl="0" w:tplc="D6D2EAEC">
      <w:numFmt w:val="bullet"/>
      <w:pStyle w:val="Boxlist"/>
      <w:lvlText w:val="•"/>
      <w:lvlJc w:val="left"/>
      <w:pPr>
        <w:ind w:left="1080" w:hanging="360"/>
      </w:pPr>
      <w:rPr>
        <w:rFonts w:ascii="Gill Sans MT" w:eastAsiaTheme="minorHAnsi" w:hAnsi="Gill Sans MT"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E2323F"/>
    <w:multiLevelType w:val="hybridMultilevel"/>
    <w:tmpl w:val="F754F14E"/>
    <w:lvl w:ilvl="0" w:tplc="D866535E">
      <w:start w:val="1"/>
      <w:numFmt w:val="bullet"/>
      <w:pStyle w:val="Overviewbox"/>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E2220B"/>
    <w:multiLevelType w:val="hybridMultilevel"/>
    <w:tmpl w:val="25E29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5174B6"/>
    <w:multiLevelType w:val="hybridMultilevel"/>
    <w:tmpl w:val="9114454C"/>
    <w:lvl w:ilvl="0" w:tplc="D2B027C2">
      <w:start w:val="1"/>
      <w:numFmt w:val="bullet"/>
      <w:lvlText w:val="o"/>
      <w:lvlJc w:val="left"/>
      <w:pPr>
        <w:tabs>
          <w:tab w:val="num" w:pos="720"/>
        </w:tabs>
        <w:ind w:left="720" w:hanging="360"/>
      </w:pPr>
      <w:rPr>
        <w:rFonts w:ascii="Courier New" w:hAnsi="Courier New" w:hint="default"/>
      </w:rPr>
    </w:lvl>
    <w:lvl w:ilvl="1" w:tplc="836AF250">
      <w:start w:val="1"/>
      <w:numFmt w:val="bullet"/>
      <w:lvlText w:val="o"/>
      <w:lvlJc w:val="left"/>
      <w:pPr>
        <w:tabs>
          <w:tab w:val="num" w:pos="1440"/>
        </w:tabs>
        <w:ind w:left="1440" w:hanging="360"/>
      </w:pPr>
      <w:rPr>
        <w:rFonts w:ascii="Courier New" w:hAnsi="Courier New" w:hint="default"/>
      </w:rPr>
    </w:lvl>
    <w:lvl w:ilvl="2" w:tplc="882A1BD2" w:tentative="1">
      <w:start w:val="1"/>
      <w:numFmt w:val="bullet"/>
      <w:lvlText w:val="o"/>
      <w:lvlJc w:val="left"/>
      <w:pPr>
        <w:tabs>
          <w:tab w:val="num" w:pos="2160"/>
        </w:tabs>
        <w:ind w:left="2160" w:hanging="360"/>
      </w:pPr>
      <w:rPr>
        <w:rFonts w:ascii="Courier New" w:hAnsi="Courier New" w:hint="default"/>
      </w:rPr>
    </w:lvl>
    <w:lvl w:ilvl="3" w:tplc="C03C5FB6" w:tentative="1">
      <w:start w:val="1"/>
      <w:numFmt w:val="bullet"/>
      <w:lvlText w:val="o"/>
      <w:lvlJc w:val="left"/>
      <w:pPr>
        <w:tabs>
          <w:tab w:val="num" w:pos="2880"/>
        </w:tabs>
        <w:ind w:left="2880" w:hanging="360"/>
      </w:pPr>
      <w:rPr>
        <w:rFonts w:ascii="Courier New" w:hAnsi="Courier New" w:hint="default"/>
      </w:rPr>
    </w:lvl>
    <w:lvl w:ilvl="4" w:tplc="34A88E1E" w:tentative="1">
      <w:start w:val="1"/>
      <w:numFmt w:val="bullet"/>
      <w:lvlText w:val="o"/>
      <w:lvlJc w:val="left"/>
      <w:pPr>
        <w:tabs>
          <w:tab w:val="num" w:pos="3600"/>
        </w:tabs>
        <w:ind w:left="3600" w:hanging="360"/>
      </w:pPr>
      <w:rPr>
        <w:rFonts w:ascii="Courier New" w:hAnsi="Courier New" w:hint="default"/>
      </w:rPr>
    </w:lvl>
    <w:lvl w:ilvl="5" w:tplc="9E1402F8" w:tentative="1">
      <w:start w:val="1"/>
      <w:numFmt w:val="bullet"/>
      <w:lvlText w:val="o"/>
      <w:lvlJc w:val="left"/>
      <w:pPr>
        <w:tabs>
          <w:tab w:val="num" w:pos="4320"/>
        </w:tabs>
        <w:ind w:left="4320" w:hanging="360"/>
      </w:pPr>
      <w:rPr>
        <w:rFonts w:ascii="Courier New" w:hAnsi="Courier New" w:hint="default"/>
      </w:rPr>
    </w:lvl>
    <w:lvl w:ilvl="6" w:tplc="4DD42FC2" w:tentative="1">
      <w:start w:val="1"/>
      <w:numFmt w:val="bullet"/>
      <w:lvlText w:val="o"/>
      <w:lvlJc w:val="left"/>
      <w:pPr>
        <w:tabs>
          <w:tab w:val="num" w:pos="5040"/>
        </w:tabs>
        <w:ind w:left="5040" w:hanging="360"/>
      </w:pPr>
      <w:rPr>
        <w:rFonts w:ascii="Courier New" w:hAnsi="Courier New" w:hint="default"/>
      </w:rPr>
    </w:lvl>
    <w:lvl w:ilvl="7" w:tplc="853E1C36" w:tentative="1">
      <w:start w:val="1"/>
      <w:numFmt w:val="bullet"/>
      <w:lvlText w:val="o"/>
      <w:lvlJc w:val="left"/>
      <w:pPr>
        <w:tabs>
          <w:tab w:val="num" w:pos="5760"/>
        </w:tabs>
        <w:ind w:left="5760" w:hanging="360"/>
      </w:pPr>
      <w:rPr>
        <w:rFonts w:ascii="Courier New" w:hAnsi="Courier New" w:hint="default"/>
      </w:rPr>
    </w:lvl>
    <w:lvl w:ilvl="8" w:tplc="AAC6DD28"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555612C"/>
    <w:multiLevelType w:val="multilevel"/>
    <w:tmpl w:val="8E4A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F092C"/>
    <w:multiLevelType w:val="hybridMultilevel"/>
    <w:tmpl w:val="FBE04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15:restartNumberingAfterBreak="0">
    <w:nsid w:val="591306C7"/>
    <w:multiLevelType w:val="multilevel"/>
    <w:tmpl w:val="8718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132B9"/>
    <w:multiLevelType w:val="hybridMultilevel"/>
    <w:tmpl w:val="C984558C"/>
    <w:lvl w:ilvl="0" w:tplc="410A8428">
      <w:start w:val="1"/>
      <w:numFmt w:val="bullet"/>
      <w:pStyle w:val="Box3Lis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5CA325EA"/>
    <w:multiLevelType w:val="hybridMultilevel"/>
    <w:tmpl w:val="2B42E988"/>
    <w:lvl w:ilvl="0" w:tplc="0C090001">
      <w:start w:val="1"/>
      <w:numFmt w:val="bullet"/>
      <w:lvlText w:val=""/>
      <w:lvlJc w:val="left"/>
      <w:pPr>
        <w:ind w:left="700" w:hanging="360"/>
      </w:pPr>
      <w:rPr>
        <w:rFonts w:ascii="Symbol" w:hAnsi="Symbol" w:hint="default"/>
        <w:sz w:val="22"/>
        <w:szCs w:val="22"/>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2" w15:restartNumberingAfterBreak="0">
    <w:nsid w:val="5D3806D0"/>
    <w:multiLevelType w:val="multilevel"/>
    <w:tmpl w:val="F7FC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F408E8"/>
    <w:multiLevelType w:val="hybridMultilevel"/>
    <w:tmpl w:val="A4526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A2304F"/>
    <w:multiLevelType w:val="hybridMultilevel"/>
    <w:tmpl w:val="812E54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5786E16"/>
    <w:multiLevelType w:val="hybridMultilevel"/>
    <w:tmpl w:val="710E7E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5A657F9"/>
    <w:multiLevelType w:val="hybridMultilevel"/>
    <w:tmpl w:val="6CEE4244"/>
    <w:lvl w:ilvl="0" w:tplc="0C09001B">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F9A32BC"/>
    <w:multiLevelType w:val="hybridMultilevel"/>
    <w:tmpl w:val="35D4759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8" w15:restartNumberingAfterBreak="0">
    <w:nsid w:val="7FB102E8"/>
    <w:multiLevelType w:val="hybridMultilevel"/>
    <w:tmpl w:val="454AA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2"/>
  </w:num>
  <w:num w:numId="4">
    <w:abstractNumId w:val="15"/>
  </w:num>
  <w:num w:numId="5">
    <w:abstractNumId w:val="23"/>
  </w:num>
  <w:num w:numId="6">
    <w:abstractNumId w:val="24"/>
  </w:num>
  <w:num w:numId="7">
    <w:abstractNumId w:val="3"/>
  </w:num>
  <w:num w:numId="8">
    <w:abstractNumId w:val="1"/>
  </w:num>
  <w:num w:numId="9">
    <w:abstractNumId w:val="9"/>
  </w:num>
  <w:num w:numId="10">
    <w:abstractNumId w:val="20"/>
  </w:num>
  <w:num w:numId="11">
    <w:abstractNumId w:val="27"/>
  </w:num>
  <w:num w:numId="12">
    <w:abstractNumId w:val="10"/>
  </w:num>
  <w:num w:numId="13">
    <w:abstractNumId w:val="7"/>
  </w:num>
  <w:num w:numId="14">
    <w:abstractNumId w:val="14"/>
  </w:num>
  <w:num w:numId="15">
    <w:abstractNumId w:val="2"/>
  </w:num>
  <w:num w:numId="16">
    <w:abstractNumId w:val="0"/>
  </w:num>
  <w:num w:numId="17">
    <w:abstractNumId w:val="4"/>
  </w:num>
  <w:num w:numId="18">
    <w:abstractNumId w:val="5"/>
  </w:num>
  <w:num w:numId="19">
    <w:abstractNumId w:val="25"/>
  </w:num>
  <w:num w:numId="20">
    <w:abstractNumId w:val="26"/>
  </w:num>
  <w:num w:numId="21">
    <w:abstractNumId w:val="16"/>
  </w:num>
  <w:num w:numId="22">
    <w:abstractNumId w:val="22"/>
  </w:num>
  <w:num w:numId="23">
    <w:abstractNumId w:val="19"/>
  </w:num>
  <w:num w:numId="24">
    <w:abstractNumId w:val="13"/>
  </w:num>
  <w:num w:numId="25">
    <w:abstractNumId w:val="6"/>
  </w:num>
  <w:num w:numId="26">
    <w:abstractNumId w:val="28"/>
  </w:num>
  <w:num w:numId="27">
    <w:abstractNumId w:val="21"/>
  </w:num>
  <w:num w:numId="28">
    <w:abstractNumId w:val="17"/>
  </w:num>
  <w:num w:numId="29">
    <w:abstractNumId w:val="8"/>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A3"/>
    <w:rsid w:val="000006F2"/>
    <w:rsid w:val="00001650"/>
    <w:rsid w:val="00005784"/>
    <w:rsid w:val="00005F64"/>
    <w:rsid w:val="0000631A"/>
    <w:rsid w:val="0000740B"/>
    <w:rsid w:val="00007B05"/>
    <w:rsid w:val="00007C97"/>
    <w:rsid w:val="00010EDA"/>
    <w:rsid w:val="00011AB8"/>
    <w:rsid w:val="00011FE4"/>
    <w:rsid w:val="000143C3"/>
    <w:rsid w:val="00014AEF"/>
    <w:rsid w:val="00014C26"/>
    <w:rsid w:val="0001754A"/>
    <w:rsid w:val="000224B0"/>
    <w:rsid w:val="000226CF"/>
    <w:rsid w:val="00026BAA"/>
    <w:rsid w:val="00027A57"/>
    <w:rsid w:val="00030099"/>
    <w:rsid w:val="00030B54"/>
    <w:rsid w:val="00031B99"/>
    <w:rsid w:val="00031FD6"/>
    <w:rsid w:val="0003414A"/>
    <w:rsid w:val="00035770"/>
    <w:rsid w:val="0003735E"/>
    <w:rsid w:val="00040952"/>
    <w:rsid w:val="00040DF1"/>
    <w:rsid w:val="00041F63"/>
    <w:rsid w:val="00043A9F"/>
    <w:rsid w:val="000440E4"/>
    <w:rsid w:val="00045060"/>
    <w:rsid w:val="00045B42"/>
    <w:rsid w:val="000465E7"/>
    <w:rsid w:val="0005197E"/>
    <w:rsid w:val="00052BCD"/>
    <w:rsid w:val="00052E7A"/>
    <w:rsid w:val="0005417C"/>
    <w:rsid w:val="000546D2"/>
    <w:rsid w:val="00056175"/>
    <w:rsid w:val="00056201"/>
    <w:rsid w:val="00060F25"/>
    <w:rsid w:val="00063268"/>
    <w:rsid w:val="00063990"/>
    <w:rsid w:val="000652A6"/>
    <w:rsid w:val="00071C74"/>
    <w:rsid w:val="00072481"/>
    <w:rsid w:val="000725A0"/>
    <w:rsid w:val="000736A5"/>
    <w:rsid w:val="000744E5"/>
    <w:rsid w:val="00075701"/>
    <w:rsid w:val="00075A92"/>
    <w:rsid w:val="0007676D"/>
    <w:rsid w:val="000772E2"/>
    <w:rsid w:val="00084DF5"/>
    <w:rsid w:val="00084F3F"/>
    <w:rsid w:val="00085ACA"/>
    <w:rsid w:val="00087A2C"/>
    <w:rsid w:val="00090931"/>
    <w:rsid w:val="000910D9"/>
    <w:rsid w:val="000933DA"/>
    <w:rsid w:val="0009469E"/>
    <w:rsid w:val="00095F41"/>
    <w:rsid w:val="00097392"/>
    <w:rsid w:val="0009745C"/>
    <w:rsid w:val="00097C97"/>
    <w:rsid w:val="000A1CB3"/>
    <w:rsid w:val="000A5AA7"/>
    <w:rsid w:val="000A7889"/>
    <w:rsid w:val="000B1851"/>
    <w:rsid w:val="000B4BA7"/>
    <w:rsid w:val="000B52AB"/>
    <w:rsid w:val="000B63D1"/>
    <w:rsid w:val="000B683C"/>
    <w:rsid w:val="000B6ABF"/>
    <w:rsid w:val="000B6CC6"/>
    <w:rsid w:val="000B7217"/>
    <w:rsid w:val="000C0C16"/>
    <w:rsid w:val="000C18AC"/>
    <w:rsid w:val="000C28B8"/>
    <w:rsid w:val="000C6E1E"/>
    <w:rsid w:val="000D12A3"/>
    <w:rsid w:val="000D1AF9"/>
    <w:rsid w:val="000D6E89"/>
    <w:rsid w:val="000E3CCF"/>
    <w:rsid w:val="000E4425"/>
    <w:rsid w:val="000E46B9"/>
    <w:rsid w:val="000F18BE"/>
    <w:rsid w:val="000F22A2"/>
    <w:rsid w:val="000F2E44"/>
    <w:rsid w:val="000F3F2A"/>
    <w:rsid w:val="00100BF4"/>
    <w:rsid w:val="00101A8D"/>
    <w:rsid w:val="001022E2"/>
    <w:rsid w:val="00104DD4"/>
    <w:rsid w:val="0010532D"/>
    <w:rsid w:val="00105DBE"/>
    <w:rsid w:val="00105EB2"/>
    <w:rsid w:val="001075CB"/>
    <w:rsid w:val="00112F78"/>
    <w:rsid w:val="0011668E"/>
    <w:rsid w:val="00116E56"/>
    <w:rsid w:val="00116F23"/>
    <w:rsid w:val="0011702A"/>
    <w:rsid w:val="001179C7"/>
    <w:rsid w:val="00117FD6"/>
    <w:rsid w:val="001213E5"/>
    <w:rsid w:val="00121C6E"/>
    <w:rsid w:val="001234A7"/>
    <w:rsid w:val="0012533B"/>
    <w:rsid w:val="00127C49"/>
    <w:rsid w:val="00130127"/>
    <w:rsid w:val="001301AB"/>
    <w:rsid w:val="00130B10"/>
    <w:rsid w:val="0013406D"/>
    <w:rsid w:val="00136509"/>
    <w:rsid w:val="00137E20"/>
    <w:rsid w:val="00140ACE"/>
    <w:rsid w:val="00141F45"/>
    <w:rsid w:val="00142DC0"/>
    <w:rsid w:val="0014368A"/>
    <w:rsid w:val="001442D8"/>
    <w:rsid w:val="00144866"/>
    <w:rsid w:val="0014487C"/>
    <w:rsid w:val="0014742F"/>
    <w:rsid w:val="00147D38"/>
    <w:rsid w:val="00151997"/>
    <w:rsid w:val="00151FDC"/>
    <w:rsid w:val="00154C23"/>
    <w:rsid w:val="00155F13"/>
    <w:rsid w:val="00157491"/>
    <w:rsid w:val="001607B4"/>
    <w:rsid w:val="001627E3"/>
    <w:rsid w:val="00164108"/>
    <w:rsid w:val="00165691"/>
    <w:rsid w:val="00170B10"/>
    <w:rsid w:val="00171DE7"/>
    <w:rsid w:val="00172C17"/>
    <w:rsid w:val="00174491"/>
    <w:rsid w:val="0017472C"/>
    <w:rsid w:val="00174AD3"/>
    <w:rsid w:val="001755BD"/>
    <w:rsid w:val="00180A8B"/>
    <w:rsid w:val="00183BB2"/>
    <w:rsid w:val="00183EB7"/>
    <w:rsid w:val="0018458E"/>
    <w:rsid w:val="00184EF3"/>
    <w:rsid w:val="001863AE"/>
    <w:rsid w:val="0019068F"/>
    <w:rsid w:val="00190D41"/>
    <w:rsid w:val="00192496"/>
    <w:rsid w:val="00193C4A"/>
    <w:rsid w:val="001966EC"/>
    <w:rsid w:val="00197FF6"/>
    <w:rsid w:val="001A1457"/>
    <w:rsid w:val="001A2046"/>
    <w:rsid w:val="001A42E4"/>
    <w:rsid w:val="001A45A4"/>
    <w:rsid w:val="001A62D1"/>
    <w:rsid w:val="001A6FAF"/>
    <w:rsid w:val="001B0253"/>
    <w:rsid w:val="001B1E65"/>
    <w:rsid w:val="001B28EA"/>
    <w:rsid w:val="001B2FD1"/>
    <w:rsid w:val="001B3638"/>
    <w:rsid w:val="001B41BE"/>
    <w:rsid w:val="001B53DB"/>
    <w:rsid w:val="001C31FB"/>
    <w:rsid w:val="001C352B"/>
    <w:rsid w:val="001C7B0A"/>
    <w:rsid w:val="001D1A82"/>
    <w:rsid w:val="001D2F57"/>
    <w:rsid w:val="001D4B28"/>
    <w:rsid w:val="001D51E7"/>
    <w:rsid w:val="001D6724"/>
    <w:rsid w:val="001E0189"/>
    <w:rsid w:val="001E0616"/>
    <w:rsid w:val="001E0B64"/>
    <w:rsid w:val="001E158C"/>
    <w:rsid w:val="001E3769"/>
    <w:rsid w:val="001E6101"/>
    <w:rsid w:val="001F1FDE"/>
    <w:rsid w:val="001F4323"/>
    <w:rsid w:val="001F4A7D"/>
    <w:rsid w:val="001F4BE7"/>
    <w:rsid w:val="001F5D5D"/>
    <w:rsid w:val="001F72BC"/>
    <w:rsid w:val="00201A87"/>
    <w:rsid w:val="00201D72"/>
    <w:rsid w:val="00203982"/>
    <w:rsid w:val="002052E6"/>
    <w:rsid w:val="002063DB"/>
    <w:rsid w:val="00206D14"/>
    <w:rsid w:val="00212247"/>
    <w:rsid w:val="002131AE"/>
    <w:rsid w:val="00213ED3"/>
    <w:rsid w:val="002142C6"/>
    <w:rsid w:val="00214C64"/>
    <w:rsid w:val="002151EC"/>
    <w:rsid w:val="00217F88"/>
    <w:rsid w:val="0022065D"/>
    <w:rsid w:val="00220CEC"/>
    <w:rsid w:val="0022328E"/>
    <w:rsid w:val="00223EC3"/>
    <w:rsid w:val="002254B8"/>
    <w:rsid w:val="00225E89"/>
    <w:rsid w:val="00226EE3"/>
    <w:rsid w:val="002272FB"/>
    <w:rsid w:val="00231952"/>
    <w:rsid w:val="00233087"/>
    <w:rsid w:val="00233319"/>
    <w:rsid w:val="002342D1"/>
    <w:rsid w:val="00240090"/>
    <w:rsid w:val="00240B10"/>
    <w:rsid w:val="00241F08"/>
    <w:rsid w:val="002441FD"/>
    <w:rsid w:val="00247ACA"/>
    <w:rsid w:val="00247E3B"/>
    <w:rsid w:val="00252493"/>
    <w:rsid w:val="002542BC"/>
    <w:rsid w:val="00256A8E"/>
    <w:rsid w:val="00256CD8"/>
    <w:rsid w:val="0025740E"/>
    <w:rsid w:val="00257D40"/>
    <w:rsid w:val="0026088D"/>
    <w:rsid w:val="002608BE"/>
    <w:rsid w:val="00260E80"/>
    <w:rsid w:val="00264635"/>
    <w:rsid w:val="00267733"/>
    <w:rsid w:val="00267A06"/>
    <w:rsid w:val="00271C9A"/>
    <w:rsid w:val="00272FC7"/>
    <w:rsid w:val="00273AE3"/>
    <w:rsid w:val="00275323"/>
    <w:rsid w:val="00277855"/>
    <w:rsid w:val="00277D12"/>
    <w:rsid w:val="00281628"/>
    <w:rsid w:val="002836D5"/>
    <w:rsid w:val="00285439"/>
    <w:rsid w:val="00285C9F"/>
    <w:rsid w:val="00286794"/>
    <w:rsid w:val="00287F3F"/>
    <w:rsid w:val="002902C8"/>
    <w:rsid w:val="00291454"/>
    <w:rsid w:val="0029477A"/>
    <w:rsid w:val="002948DF"/>
    <w:rsid w:val="002963A2"/>
    <w:rsid w:val="002975FE"/>
    <w:rsid w:val="002A55BE"/>
    <w:rsid w:val="002A6E1B"/>
    <w:rsid w:val="002B154B"/>
    <w:rsid w:val="002B3596"/>
    <w:rsid w:val="002B4F5F"/>
    <w:rsid w:val="002B5328"/>
    <w:rsid w:val="002C6517"/>
    <w:rsid w:val="002D0602"/>
    <w:rsid w:val="002D0930"/>
    <w:rsid w:val="002D294A"/>
    <w:rsid w:val="002D3555"/>
    <w:rsid w:val="002D378B"/>
    <w:rsid w:val="002D3CD8"/>
    <w:rsid w:val="002D5001"/>
    <w:rsid w:val="002E0643"/>
    <w:rsid w:val="002E192C"/>
    <w:rsid w:val="002F198E"/>
    <w:rsid w:val="002F1DFA"/>
    <w:rsid w:val="002F3EB9"/>
    <w:rsid w:val="002F56B7"/>
    <w:rsid w:val="002F685A"/>
    <w:rsid w:val="002F7D5B"/>
    <w:rsid w:val="003033A3"/>
    <w:rsid w:val="00304800"/>
    <w:rsid w:val="00304F61"/>
    <w:rsid w:val="00307C7D"/>
    <w:rsid w:val="00311AF2"/>
    <w:rsid w:val="00320EAF"/>
    <w:rsid w:val="0032160A"/>
    <w:rsid w:val="0032278D"/>
    <w:rsid w:val="00325B47"/>
    <w:rsid w:val="0032792A"/>
    <w:rsid w:val="003305D4"/>
    <w:rsid w:val="00331B05"/>
    <w:rsid w:val="003323B1"/>
    <w:rsid w:val="003356C7"/>
    <w:rsid w:val="00335A4A"/>
    <w:rsid w:val="00337127"/>
    <w:rsid w:val="0033740F"/>
    <w:rsid w:val="0033790D"/>
    <w:rsid w:val="00337EC7"/>
    <w:rsid w:val="00340874"/>
    <w:rsid w:val="00342536"/>
    <w:rsid w:val="00344804"/>
    <w:rsid w:val="00344C4C"/>
    <w:rsid w:val="00350234"/>
    <w:rsid w:val="00354ACE"/>
    <w:rsid w:val="00356301"/>
    <w:rsid w:val="00356853"/>
    <w:rsid w:val="0035770A"/>
    <w:rsid w:val="00357CA9"/>
    <w:rsid w:val="003607EE"/>
    <w:rsid w:val="00361DEF"/>
    <w:rsid w:val="00363044"/>
    <w:rsid w:val="0036654F"/>
    <w:rsid w:val="003669A4"/>
    <w:rsid w:val="0037078A"/>
    <w:rsid w:val="00370818"/>
    <w:rsid w:val="00370951"/>
    <w:rsid w:val="00373D9C"/>
    <w:rsid w:val="00374490"/>
    <w:rsid w:val="00375410"/>
    <w:rsid w:val="0038016F"/>
    <w:rsid w:val="00382FEB"/>
    <w:rsid w:val="003874C8"/>
    <w:rsid w:val="003878B3"/>
    <w:rsid w:val="003878F3"/>
    <w:rsid w:val="00387DD2"/>
    <w:rsid w:val="003902CA"/>
    <w:rsid w:val="0039202F"/>
    <w:rsid w:val="00394251"/>
    <w:rsid w:val="003957B2"/>
    <w:rsid w:val="0039608D"/>
    <w:rsid w:val="003A0BA3"/>
    <w:rsid w:val="003A1432"/>
    <w:rsid w:val="003A267B"/>
    <w:rsid w:val="003A727E"/>
    <w:rsid w:val="003A7FD0"/>
    <w:rsid w:val="003B0689"/>
    <w:rsid w:val="003B4089"/>
    <w:rsid w:val="003B4C2F"/>
    <w:rsid w:val="003B6363"/>
    <w:rsid w:val="003C22B9"/>
    <w:rsid w:val="003C22C6"/>
    <w:rsid w:val="003D018A"/>
    <w:rsid w:val="003D0A46"/>
    <w:rsid w:val="003D1199"/>
    <w:rsid w:val="003D32A3"/>
    <w:rsid w:val="003E0041"/>
    <w:rsid w:val="003E0C9A"/>
    <w:rsid w:val="003E1CCC"/>
    <w:rsid w:val="003E33B0"/>
    <w:rsid w:val="003E5B0B"/>
    <w:rsid w:val="003E7585"/>
    <w:rsid w:val="003F088D"/>
    <w:rsid w:val="003F2282"/>
    <w:rsid w:val="003F516F"/>
    <w:rsid w:val="003F67EE"/>
    <w:rsid w:val="003F7720"/>
    <w:rsid w:val="003F77BF"/>
    <w:rsid w:val="00404182"/>
    <w:rsid w:val="00406A49"/>
    <w:rsid w:val="00407B6A"/>
    <w:rsid w:val="004108C7"/>
    <w:rsid w:val="0041538D"/>
    <w:rsid w:val="00415D30"/>
    <w:rsid w:val="004165CF"/>
    <w:rsid w:val="004176E3"/>
    <w:rsid w:val="00417860"/>
    <w:rsid w:val="00423AC0"/>
    <w:rsid w:val="00426FE2"/>
    <w:rsid w:val="0043119D"/>
    <w:rsid w:val="0043404C"/>
    <w:rsid w:val="004408EA"/>
    <w:rsid w:val="00441F10"/>
    <w:rsid w:val="00445D68"/>
    <w:rsid w:val="00447D7B"/>
    <w:rsid w:val="00455DC5"/>
    <w:rsid w:val="00455ECF"/>
    <w:rsid w:val="004563C3"/>
    <w:rsid w:val="00457F21"/>
    <w:rsid w:val="004613CD"/>
    <w:rsid w:val="0046160C"/>
    <w:rsid w:val="00464BE7"/>
    <w:rsid w:val="00464CEB"/>
    <w:rsid w:val="00465E8A"/>
    <w:rsid w:val="004663D1"/>
    <w:rsid w:val="004678E0"/>
    <w:rsid w:val="00467914"/>
    <w:rsid w:val="00471A70"/>
    <w:rsid w:val="00475801"/>
    <w:rsid w:val="00475C47"/>
    <w:rsid w:val="00475E4C"/>
    <w:rsid w:val="00477DDD"/>
    <w:rsid w:val="00481893"/>
    <w:rsid w:val="00481A1B"/>
    <w:rsid w:val="00482690"/>
    <w:rsid w:val="00483983"/>
    <w:rsid w:val="00487957"/>
    <w:rsid w:val="00487A63"/>
    <w:rsid w:val="00487BF3"/>
    <w:rsid w:val="0049090D"/>
    <w:rsid w:val="00490C4A"/>
    <w:rsid w:val="00492391"/>
    <w:rsid w:val="004942B5"/>
    <w:rsid w:val="004943E5"/>
    <w:rsid w:val="004944F3"/>
    <w:rsid w:val="00494520"/>
    <w:rsid w:val="00496172"/>
    <w:rsid w:val="004A3A83"/>
    <w:rsid w:val="004A5C2B"/>
    <w:rsid w:val="004B03F5"/>
    <w:rsid w:val="004B076B"/>
    <w:rsid w:val="004B0E4C"/>
    <w:rsid w:val="004B1820"/>
    <w:rsid w:val="004B1A75"/>
    <w:rsid w:val="004B1FE4"/>
    <w:rsid w:val="004B4860"/>
    <w:rsid w:val="004B4C29"/>
    <w:rsid w:val="004B64CD"/>
    <w:rsid w:val="004B6DBF"/>
    <w:rsid w:val="004B7E49"/>
    <w:rsid w:val="004C3261"/>
    <w:rsid w:val="004C7127"/>
    <w:rsid w:val="004D0E37"/>
    <w:rsid w:val="004D0F42"/>
    <w:rsid w:val="004D40A4"/>
    <w:rsid w:val="004D4E4D"/>
    <w:rsid w:val="004D545A"/>
    <w:rsid w:val="004D68F5"/>
    <w:rsid w:val="004D75AD"/>
    <w:rsid w:val="004D784D"/>
    <w:rsid w:val="004E2C9E"/>
    <w:rsid w:val="004E3050"/>
    <w:rsid w:val="004E6EB5"/>
    <w:rsid w:val="004E7DBB"/>
    <w:rsid w:val="004F42E8"/>
    <w:rsid w:val="004F4976"/>
    <w:rsid w:val="004F4B9B"/>
    <w:rsid w:val="004F6261"/>
    <w:rsid w:val="00500370"/>
    <w:rsid w:val="0050148D"/>
    <w:rsid w:val="0050691E"/>
    <w:rsid w:val="00507679"/>
    <w:rsid w:val="0051299C"/>
    <w:rsid w:val="00513022"/>
    <w:rsid w:val="00513644"/>
    <w:rsid w:val="00515417"/>
    <w:rsid w:val="00516965"/>
    <w:rsid w:val="00521467"/>
    <w:rsid w:val="005223F9"/>
    <w:rsid w:val="00524EBC"/>
    <w:rsid w:val="005303F8"/>
    <w:rsid w:val="00530B05"/>
    <w:rsid w:val="00530B6B"/>
    <w:rsid w:val="00531932"/>
    <w:rsid w:val="0053236E"/>
    <w:rsid w:val="0054053D"/>
    <w:rsid w:val="00540FCD"/>
    <w:rsid w:val="00541E29"/>
    <w:rsid w:val="005437A6"/>
    <w:rsid w:val="00543C34"/>
    <w:rsid w:val="00544B6E"/>
    <w:rsid w:val="00544E00"/>
    <w:rsid w:val="0054526E"/>
    <w:rsid w:val="00546A59"/>
    <w:rsid w:val="00547236"/>
    <w:rsid w:val="00547540"/>
    <w:rsid w:val="005503E3"/>
    <w:rsid w:val="0055481D"/>
    <w:rsid w:val="0055578A"/>
    <w:rsid w:val="00556C91"/>
    <w:rsid w:val="00561000"/>
    <w:rsid w:val="00566063"/>
    <w:rsid w:val="00567340"/>
    <w:rsid w:val="005728E3"/>
    <w:rsid w:val="00573AC7"/>
    <w:rsid w:val="0057612D"/>
    <w:rsid w:val="0058011B"/>
    <w:rsid w:val="00580A0A"/>
    <w:rsid w:val="005813FB"/>
    <w:rsid w:val="00581941"/>
    <w:rsid w:val="00581F66"/>
    <w:rsid w:val="005834C6"/>
    <w:rsid w:val="00583743"/>
    <w:rsid w:val="005842FA"/>
    <w:rsid w:val="00584321"/>
    <w:rsid w:val="00585ACE"/>
    <w:rsid w:val="0058746C"/>
    <w:rsid w:val="00592AB7"/>
    <w:rsid w:val="005938DF"/>
    <w:rsid w:val="005939C8"/>
    <w:rsid w:val="00595F7C"/>
    <w:rsid w:val="00597C0D"/>
    <w:rsid w:val="005A3BE2"/>
    <w:rsid w:val="005A57FF"/>
    <w:rsid w:val="005A5FB9"/>
    <w:rsid w:val="005B2426"/>
    <w:rsid w:val="005B4F57"/>
    <w:rsid w:val="005B5165"/>
    <w:rsid w:val="005B5A81"/>
    <w:rsid w:val="005B77BA"/>
    <w:rsid w:val="005B7CBD"/>
    <w:rsid w:val="005B7EC3"/>
    <w:rsid w:val="005C0B26"/>
    <w:rsid w:val="005C7402"/>
    <w:rsid w:val="005D0D53"/>
    <w:rsid w:val="005D1C3B"/>
    <w:rsid w:val="005D1D2C"/>
    <w:rsid w:val="005D28AB"/>
    <w:rsid w:val="005D2943"/>
    <w:rsid w:val="005D552F"/>
    <w:rsid w:val="005D679B"/>
    <w:rsid w:val="005D7037"/>
    <w:rsid w:val="005D7F6F"/>
    <w:rsid w:val="005E1595"/>
    <w:rsid w:val="005E2EF9"/>
    <w:rsid w:val="005E3151"/>
    <w:rsid w:val="005E32E4"/>
    <w:rsid w:val="005E4AF5"/>
    <w:rsid w:val="005E515E"/>
    <w:rsid w:val="005E7354"/>
    <w:rsid w:val="005F3D6F"/>
    <w:rsid w:val="005F453E"/>
    <w:rsid w:val="005F6577"/>
    <w:rsid w:val="005F7994"/>
    <w:rsid w:val="0060107D"/>
    <w:rsid w:val="00604C9D"/>
    <w:rsid w:val="00604DF3"/>
    <w:rsid w:val="0060534F"/>
    <w:rsid w:val="00607A4D"/>
    <w:rsid w:val="0061155F"/>
    <w:rsid w:val="006134DB"/>
    <w:rsid w:val="00613EED"/>
    <w:rsid w:val="006140B2"/>
    <w:rsid w:val="00615F28"/>
    <w:rsid w:val="00617D53"/>
    <w:rsid w:val="00620CA7"/>
    <w:rsid w:val="00622E7D"/>
    <w:rsid w:val="00625801"/>
    <w:rsid w:val="00626EC8"/>
    <w:rsid w:val="00627BE3"/>
    <w:rsid w:val="0063504B"/>
    <w:rsid w:val="006352CE"/>
    <w:rsid w:val="006360D2"/>
    <w:rsid w:val="00636137"/>
    <w:rsid w:val="00636B46"/>
    <w:rsid w:val="006440F8"/>
    <w:rsid w:val="00645681"/>
    <w:rsid w:val="006457A9"/>
    <w:rsid w:val="006476BF"/>
    <w:rsid w:val="00653208"/>
    <w:rsid w:val="00654A97"/>
    <w:rsid w:val="0065797C"/>
    <w:rsid w:val="006608E4"/>
    <w:rsid w:val="00660BE6"/>
    <w:rsid w:val="00662F7D"/>
    <w:rsid w:val="00663591"/>
    <w:rsid w:val="00663A30"/>
    <w:rsid w:val="0066497E"/>
    <w:rsid w:val="00664F3C"/>
    <w:rsid w:val="006674D0"/>
    <w:rsid w:val="00667938"/>
    <w:rsid w:val="006708BD"/>
    <w:rsid w:val="006720A0"/>
    <w:rsid w:val="00672A12"/>
    <w:rsid w:val="0067326B"/>
    <w:rsid w:val="006735CF"/>
    <w:rsid w:val="006770BC"/>
    <w:rsid w:val="00680030"/>
    <w:rsid w:val="00680CB1"/>
    <w:rsid w:val="00682C8A"/>
    <w:rsid w:val="00682F59"/>
    <w:rsid w:val="00684651"/>
    <w:rsid w:val="006910C3"/>
    <w:rsid w:val="006934E1"/>
    <w:rsid w:val="00693C14"/>
    <w:rsid w:val="00696DDF"/>
    <w:rsid w:val="006A1ACD"/>
    <w:rsid w:val="006A1F72"/>
    <w:rsid w:val="006A25F0"/>
    <w:rsid w:val="006A28BB"/>
    <w:rsid w:val="006A39D5"/>
    <w:rsid w:val="006A3AF0"/>
    <w:rsid w:val="006A6EBE"/>
    <w:rsid w:val="006A7449"/>
    <w:rsid w:val="006B0F56"/>
    <w:rsid w:val="006B15EE"/>
    <w:rsid w:val="006B1AB4"/>
    <w:rsid w:val="006B24C6"/>
    <w:rsid w:val="006B2669"/>
    <w:rsid w:val="006B3755"/>
    <w:rsid w:val="006B3CEC"/>
    <w:rsid w:val="006B5900"/>
    <w:rsid w:val="006B7939"/>
    <w:rsid w:val="006B7D1B"/>
    <w:rsid w:val="006C087A"/>
    <w:rsid w:val="006C3881"/>
    <w:rsid w:val="006C3957"/>
    <w:rsid w:val="006C3ECC"/>
    <w:rsid w:val="006C43E9"/>
    <w:rsid w:val="006C6C8C"/>
    <w:rsid w:val="006D08E3"/>
    <w:rsid w:val="006D0FF7"/>
    <w:rsid w:val="006D1EAB"/>
    <w:rsid w:val="006D3FB2"/>
    <w:rsid w:val="006D4EF9"/>
    <w:rsid w:val="006D60B5"/>
    <w:rsid w:val="006D6F35"/>
    <w:rsid w:val="006E28F2"/>
    <w:rsid w:val="006E2C76"/>
    <w:rsid w:val="006E4A85"/>
    <w:rsid w:val="006E4BB8"/>
    <w:rsid w:val="006E5494"/>
    <w:rsid w:val="006F0D5F"/>
    <w:rsid w:val="006F2084"/>
    <w:rsid w:val="006F3CAC"/>
    <w:rsid w:val="006F4773"/>
    <w:rsid w:val="006F605F"/>
    <w:rsid w:val="006F7F31"/>
    <w:rsid w:val="0070088B"/>
    <w:rsid w:val="00701096"/>
    <w:rsid w:val="00701A6C"/>
    <w:rsid w:val="0070294A"/>
    <w:rsid w:val="00702BB9"/>
    <w:rsid w:val="0070385F"/>
    <w:rsid w:val="0070788B"/>
    <w:rsid w:val="00707A8D"/>
    <w:rsid w:val="0071198B"/>
    <w:rsid w:val="00711C40"/>
    <w:rsid w:val="007140E4"/>
    <w:rsid w:val="00714943"/>
    <w:rsid w:val="00714CF1"/>
    <w:rsid w:val="00715710"/>
    <w:rsid w:val="00715F03"/>
    <w:rsid w:val="00717AF3"/>
    <w:rsid w:val="00720514"/>
    <w:rsid w:val="007232C5"/>
    <w:rsid w:val="00726695"/>
    <w:rsid w:val="0073190D"/>
    <w:rsid w:val="00733448"/>
    <w:rsid w:val="007354D3"/>
    <w:rsid w:val="00735FC5"/>
    <w:rsid w:val="00736A4F"/>
    <w:rsid w:val="00737F92"/>
    <w:rsid w:val="007400A8"/>
    <w:rsid w:val="00740106"/>
    <w:rsid w:val="00740720"/>
    <w:rsid w:val="0074260E"/>
    <w:rsid w:val="00742EF8"/>
    <w:rsid w:val="00745001"/>
    <w:rsid w:val="00747352"/>
    <w:rsid w:val="00751159"/>
    <w:rsid w:val="00752E28"/>
    <w:rsid w:val="007540A9"/>
    <w:rsid w:val="007542EE"/>
    <w:rsid w:val="00756F07"/>
    <w:rsid w:val="007572B0"/>
    <w:rsid w:val="00757F85"/>
    <w:rsid w:val="0076141E"/>
    <w:rsid w:val="00763EDB"/>
    <w:rsid w:val="007645CB"/>
    <w:rsid w:val="00764FFA"/>
    <w:rsid w:val="007655E0"/>
    <w:rsid w:val="007667F2"/>
    <w:rsid w:val="00767524"/>
    <w:rsid w:val="007708F3"/>
    <w:rsid w:val="00770916"/>
    <w:rsid w:val="0077474E"/>
    <w:rsid w:val="0077526E"/>
    <w:rsid w:val="00776125"/>
    <w:rsid w:val="00776F08"/>
    <w:rsid w:val="00777244"/>
    <w:rsid w:val="007775E0"/>
    <w:rsid w:val="007820C1"/>
    <w:rsid w:val="00782B24"/>
    <w:rsid w:val="00782BF2"/>
    <w:rsid w:val="007844BA"/>
    <w:rsid w:val="00785CF5"/>
    <w:rsid w:val="00786149"/>
    <w:rsid w:val="00790460"/>
    <w:rsid w:val="00790DFA"/>
    <w:rsid w:val="0079185A"/>
    <w:rsid w:val="0079201B"/>
    <w:rsid w:val="00793A0A"/>
    <w:rsid w:val="00793AA1"/>
    <w:rsid w:val="0079551A"/>
    <w:rsid w:val="00795B8E"/>
    <w:rsid w:val="00796894"/>
    <w:rsid w:val="00797DF7"/>
    <w:rsid w:val="007A1912"/>
    <w:rsid w:val="007A4557"/>
    <w:rsid w:val="007A550C"/>
    <w:rsid w:val="007A67A8"/>
    <w:rsid w:val="007A7B40"/>
    <w:rsid w:val="007B1409"/>
    <w:rsid w:val="007B1AC8"/>
    <w:rsid w:val="007B32AD"/>
    <w:rsid w:val="007B3416"/>
    <w:rsid w:val="007B7AC2"/>
    <w:rsid w:val="007C0F42"/>
    <w:rsid w:val="007C1FB1"/>
    <w:rsid w:val="007C2193"/>
    <w:rsid w:val="007C24F9"/>
    <w:rsid w:val="007C4800"/>
    <w:rsid w:val="007C4E70"/>
    <w:rsid w:val="007C7099"/>
    <w:rsid w:val="007C7EC5"/>
    <w:rsid w:val="007D022B"/>
    <w:rsid w:val="007D07EA"/>
    <w:rsid w:val="007D1787"/>
    <w:rsid w:val="007D4C4C"/>
    <w:rsid w:val="007D4E11"/>
    <w:rsid w:val="007D5970"/>
    <w:rsid w:val="007E22AB"/>
    <w:rsid w:val="007E4CBC"/>
    <w:rsid w:val="007E4F35"/>
    <w:rsid w:val="007E50EC"/>
    <w:rsid w:val="007E7FE5"/>
    <w:rsid w:val="007F04C0"/>
    <w:rsid w:val="007F0FE3"/>
    <w:rsid w:val="007F2C06"/>
    <w:rsid w:val="007F57DC"/>
    <w:rsid w:val="007F77F3"/>
    <w:rsid w:val="007F7D16"/>
    <w:rsid w:val="00801144"/>
    <w:rsid w:val="008047A6"/>
    <w:rsid w:val="00804E58"/>
    <w:rsid w:val="0080555A"/>
    <w:rsid w:val="00806193"/>
    <w:rsid w:val="0080653E"/>
    <w:rsid w:val="00814CC4"/>
    <w:rsid w:val="00817DC4"/>
    <w:rsid w:val="0082119F"/>
    <w:rsid w:val="008216E9"/>
    <w:rsid w:val="008223B7"/>
    <w:rsid w:val="00822814"/>
    <w:rsid w:val="00825D87"/>
    <w:rsid w:val="00826FA7"/>
    <w:rsid w:val="00830825"/>
    <w:rsid w:val="0083090D"/>
    <w:rsid w:val="00830F83"/>
    <w:rsid w:val="00831151"/>
    <w:rsid w:val="0083173B"/>
    <w:rsid w:val="00831759"/>
    <w:rsid w:val="00831E19"/>
    <w:rsid w:val="008368FB"/>
    <w:rsid w:val="00836BA5"/>
    <w:rsid w:val="0084082F"/>
    <w:rsid w:val="00842541"/>
    <w:rsid w:val="008432E3"/>
    <w:rsid w:val="00843688"/>
    <w:rsid w:val="00843A3A"/>
    <w:rsid w:val="00843B65"/>
    <w:rsid w:val="00846A7B"/>
    <w:rsid w:val="008527CD"/>
    <w:rsid w:val="00852DE6"/>
    <w:rsid w:val="00852EE5"/>
    <w:rsid w:val="008563FF"/>
    <w:rsid w:val="00857523"/>
    <w:rsid w:val="00860016"/>
    <w:rsid w:val="00863431"/>
    <w:rsid w:val="00866A82"/>
    <w:rsid w:val="00866B23"/>
    <w:rsid w:val="008702FE"/>
    <w:rsid w:val="00871527"/>
    <w:rsid w:val="00871771"/>
    <w:rsid w:val="00872C54"/>
    <w:rsid w:val="00872C8D"/>
    <w:rsid w:val="00873CBE"/>
    <w:rsid w:val="00874E65"/>
    <w:rsid w:val="00876897"/>
    <w:rsid w:val="008802C9"/>
    <w:rsid w:val="00880F2D"/>
    <w:rsid w:val="0088394F"/>
    <w:rsid w:val="008862B6"/>
    <w:rsid w:val="0089015B"/>
    <w:rsid w:val="00895ED8"/>
    <w:rsid w:val="008A030F"/>
    <w:rsid w:val="008A19DB"/>
    <w:rsid w:val="008A3E44"/>
    <w:rsid w:val="008A4032"/>
    <w:rsid w:val="008A566F"/>
    <w:rsid w:val="008A5D70"/>
    <w:rsid w:val="008B1763"/>
    <w:rsid w:val="008B186E"/>
    <w:rsid w:val="008B3190"/>
    <w:rsid w:val="008B4829"/>
    <w:rsid w:val="008B49ED"/>
    <w:rsid w:val="008B5ED3"/>
    <w:rsid w:val="008B6863"/>
    <w:rsid w:val="008B691F"/>
    <w:rsid w:val="008B7E32"/>
    <w:rsid w:val="008C06E0"/>
    <w:rsid w:val="008C2133"/>
    <w:rsid w:val="008C3801"/>
    <w:rsid w:val="008C3890"/>
    <w:rsid w:val="008C3FA4"/>
    <w:rsid w:val="008C5108"/>
    <w:rsid w:val="008C51A0"/>
    <w:rsid w:val="008C5396"/>
    <w:rsid w:val="008C75D4"/>
    <w:rsid w:val="008D2DCF"/>
    <w:rsid w:val="008D6438"/>
    <w:rsid w:val="008D6BEA"/>
    <w:rsid w:val="008E07F9"/>
    <w:rsid w:val="008E2EA9"/>
    <w:rsid w:val="008E3876"/>
    <w:rsid w:val="008E573F"/>
    <w:rsid w:val="008E59A5"/>
    <w:rsid w:val="008E7690"/>
    <w:rsid w:val="008E76D7"/>
    <w:rsid w:val="008F1628"/>
    <w:rsid w:val="008F2DD4"/>
    <w:rsid w:val="008F5E90"/>
    <w:rsid w:val="008F6A28"/>
    <w:rsid w:val="008F6EAB"/>
    <w:rsid w:val="008F6FA7"/>
    <w:rsid w:val="009004C5"/>
    <w:rsid w:val="0090094D"/>
    <w:rsid w:val="009013DC"/>
    <w:rsid w:val="0090159F"/>
    <w:rsid w:val="009047CA"/>
    <w:rsid w:val="00907CBD"/>
    <w:rsid w:val="00911877"/>
    <w:rsid w:val="009134B4"/>
    <w:rsid w:val="00915FDD"/>
    <w:rsid w:val="00921877"/>
    <w:rsid w:val="009227CA"/>
    <w:rsid w:val="00923D8D"/>
    <w:rsid w:val="00934AA7"/>
    <w:rsid w:val="00934B56"/>
    <w:rsid w:val="00935422"/>
    <w:rsid w:val="00943234"/>
    <w:rsid w:val="00943521"/>
    <w:rsid w:val="00943970"/>
    <w:rsid w:val="00945480"/>
    <w:rsid w:val="009519D2"/>
    <w:rsid w:val="0095256A"/>
    <w:rsid w:val="00957E9E"/>
    <w:rsid w:val="0096013F"/>
    <w:rsid w:val="00961A53"/>
    <w:rsid w:val="00961C1F"/>
    <w:rsid w:val="00961FF6"/>
    <w:rsid w:val="00962E6C"/>
    <w:rsid w:val="00962F5A"/>
    <w:rsid w:val="00965DDD"/>
    <w:rsid w:val="009675BE"/>
    <w:rsid w:val="009679A8"/>
    <w:rsid w:val="00972C4D"/>
    <w:rsid w:val="009734F5"/>
    <w:rsid w:val="00977AA2"/>
    <w:rsid w:val="00977E2F"/>
    <w:rsid w:val="00982DCA"/>
    <w:rsid w:val="00983262"/>
    <w:rsid w:val="00984F17"/>
    <w:rsid w:val="00986CF8"/>
    <w:rsid w:val="00987820"/>
    <w:rsid w:val="00987AF9"/>
    <w:rsid w:val="00991E6A"/>
    <w:rsid w:val="00992EE3"/>
    <w:rsid w:val="0099380D"/>
    <w:rsid w:val="00997C39"/>
    <w:rsid w:val="009A023B"/>
    <w:rsid w:val="009A348F"/>
    <w:rsid w:val="009A475C"/>
    <w:rsid w:val="009A4840"/>
    <w:rsid w:val="009A789F"/>
    <w:rsid w:val="009B0C3B"/>
    <w:rsid w:val="009B12BD"/>
    <w:rsid w:val="009B168E"/>
    <w:rsid w:val="009B3695"/>
    <w:rsid w:val="009B36D3"/>
    <w:rsid w:val="009B49AE"/>
    <w:rsid w:val="009B534B"/>
    <w:rsid w:val="009C2043"/>
    <w:rsid w:val="009C23E1"/>
    <w:rsid w:val="009C3446"/>
    <w:rsid w:val="009C3880"/>
    <w:rsid w:val="009C3F49"/>
    <w:rsid w:val="009C4CD8"/>
    <w:rsid w:val="009C6394"/>
    <w:rsid w:val="009C64CD"/>
    <w:rsid w:val="009D3015"/>
    <w:rsid w:val="009D3AE0"/>
    <w:rsid w:val="009D46FC"/>
    <w:rsid w:val="009D54C1"/>
    <w:rsid w:val="009D54E0"/>
    <w:rsid w:val="009D6200"/>
    <w:rsid w:val="009E0D48"/>
    <w:rsid w:val="009E11BB"/>
    <w:rsid w:val="009E2C15"/>
    <w:rsid w:val="009E45D5"/>
    <w:rsid w:val="009E736B"/>
    <w:rsid w:val="009E7E27"/>
    <w:rsid w:val="009F0414"/>
    <w:rsid w:val="009F2C1F"/>
    <w:rsid w:val="009F36C0"/>
    <w:rsid w:val="009F454B"/>
    <w:rsid w:val="009F5B3D"/>
    <w:rsid w:val="009F5E07"/>
    <w:rsid w:val="009F6097"/>
    <w:rsid w:val="009F6B74"/>
    <w:rsid w:val="00A00286"/>
    <w:rsid w:val="00A008F3"/>
    <w:rsid w:val="00A031A0"/>
    <w:rsid w:val="00A05334"/>
    <w:rsid w:val="00A06645"/>
    <w:rsid w:val="00A157A8"/>
    <w:rsid w:val="00A16D42"/>
    <w:rsid w:val="00A20582"/>
    <w:rsid w:val="00A2060A"/>
    <w:rsid w:val="00A229A3"/>
    <w:rsid w:val="00A23236"/>
    <w:rsid w:val="00A27369"/>
    <w:rsid w:val="00A2753C"/>
    <w:rsid w:val="00A275C8"/>
    <w:rsid w:val="00A374E6"/>
    <w:rsid w:val="00A37C9A"/>
    <w:rsid w:val="00A41268"/>
    <w:rsid w:val="00A414A8"/>
    <w:rsid w:val="00A4250D"/>
    <w:rsid w:val="00A431B2"/>
    <w:rsid w:val="00A434D1"/>
    <w:rsid w:val="00A43E19"/>
    <w:rsid w:val="00A440E6"/>
    <w:rsid w:val="00A44B71"/>
    <w:rsid w:val="00A542C3"/>
    <w:rsid w:val="00A54EBF"/>
    <w:rsid w:val="00A57678"/>
    <w:rsid w:val="00A60415"/>
    <w:rsid w:val="00A616CC"/>
    <w:rsid w:val="00A61EF3"/>
    <w:rsid w:val="00A627F1"/>
    <w:rsid w:val="00A62942"/>
    <w:rsid w:val="00A62AAE"/>
    <w:rsid w:val="00A65EEF"/>
    <w:rsid w:val="00A66996"/>
    <w:rsid w:val="00A67F41"/>
    <w:rsid w:val="00A72408"/>
    <w:rsid w:val="00A74599"/>
    <w:rsid w:val="00A752DC"/>
    <w:rsid w:val="00A8069E"/>
    <w:rsid w:val="00A82E97"/>
    <w:rsid w:val="00A8319A"/>
    <w:rsid w:val="00A83E0E"/>
    <w:rsid w:val="00A840F0"/>
    <w:rsid w:val="00A84410"/>
    <w:rsid w:val="00A87702"/>
    <w:rsid w:val="00A97F96"/>
    <w:rsid w:val="00AA39CB"/>
    <w:rsid w:val="00AA39FF"/>
    <w:rsid w:val="00AA4086"/>
    <w:rsid w:val="00AA432C"/>
    <w:rsid w:val="00AA6C03"/>
    <w:rsid w:val="00AB06BA"/>
    <w:rsid w:val="00AB3C6A"/>
    <w:rsid w:val="00AB5455"/>
    <w:rsid w:val="00AB5B59"/>
    <w:rsid w:val="00AB76E9"/>
    <w:rsid w:val="00AC2CA6"/>
    <w:rsid w:val="00AC6512"/>
    <w:rsid w:val="00AC69A4"/>
    <w:rsid w:val="00AC6D32"/>
    <w:rsid w:val="00AD16A5"/>
    <w:rsid w:val="00AD2026"/>
    <w:rsid w:val="00AD2AE6"/>
    <w:rsid w:val="00AD6308"/>
    <w:rsid w:val="00AD7A7D"/>
    <w:rsid w:val="00AD7D40"/>
    <w:rsid w:val="00AE15D1"/>
    <w:rsid w:val="00AE3057"/>
    <w:rsid w:val="00AE3C40"/>
    <w:rsid w:val="00AE59C4"/>
    <w:rsid w:val="00AE6307"/>
    <w:rsid w:val="00AE771E"/>
    <w:rsid w:val="00AE7D52"/>
    <w:rsid w:val="00AF033B"/>
    <w:rsid w:val="00AF0EDE"/>
    <w:rsid w:val="00AF3FC9"/>
    <w:rsid w:val="00AF40D8"/>
    <w:rsid w:val="00AF6448"/>
    <w:rsid w:val="00AF67A1"/>
    <w:rsid w:val="00B024B8"/>
    <w:rsid w:val="00B03B85"/>
    <w:rsid w:val="00B06F37"/>
    <w:rsid w:val="00B1203F"/>
    <w:rsid w:val="00B124B6"/>
    <w:rsid w:val="00B1384C"/>
    <w:rsid w:val="00B13D95"/>
    <w:rsid w:val="00B14EDB"/>
    <w:rsid w:val="00B15506"/>
    <w:rsid w:val="00B17738"/>
    <w:rsid w:val="00B209D4"/>
    <w:rsid w:val="00B20F1B"/>
    <w:rsid w:val="00B2273A"/>
    <w:rsid w:val="00B269F3"/>
    <w:rsid w:val="00B278A5"/>
    <w:rsid w:val="00B2791A"/>
    <w:rsid w:val="00B30CCC"/>
    <w:rsid w:val="00B319F5"/>
    <w:rsid w:val="00B32F2D"/>
    <w:rsid w:val="00B335E7"/>
    <w:rsid w:val="00B3381D"/>
    <w:rsid w:val="00B34FF3"/>
    <w:rsid w:val="00B356F4"/>
    <w:rsid w:val="00B35DE7"/>
    <w:rsid w:val="00B36550"/>
    <w:rsid w:val="00B413BA"/>
    <w:rsid w:val="00B4344D"/>
    <w:rsid w:val="00B43DE6"/>
    <w:rsid w:val="00B44DEB"/>
    <w:rsid w:val="00B47573"/>
    <w:rsid w:val="00B51CCC"/>
    <w:rsid w:val="00B52593"/>
    <w:rsid w:val="00B535D6"/>
    <w:rsid w:val="00B536E0"/>
    <w:rsid w:val="00B541CA"/>
    <w:rsid w:val="00B611F6"/>
    <w:rsid w:val="00B62A22"/>
    <w:rsid w:val="00B65017"/>
    <w:rsid w:val="00B6582D"/>
    <w:rsid w:val="00B66064"/>
    <w:rsid w:val="00B660DA"/>
    <w:rsid w:val="00B663BA"/>
    <w:rsid w:val="00B667A7"/>
    <w:rsid w:val="00B710A8"/>
    <w:rsid w:val="00B74624"/>
    <w:rsid w:val="00B7589F"/>
    <w:rsid w:val="00B76ABD"/>
    <w:rsid w:val="00B838D2"/>
    <w:rsid w:val="00B8489C"/>
    <w:rsid w:val="00B85A34"/>
    <w:rsid w:val="00B86344"/>
    <w:rsid w:val="00B87F2F"/>
    <w:rsid w:val="00B90B27"/>
    <w:rsid w:val="00B9577F"/>
    <w:rsid w:val="00BA113D"/>
    <w:rsid w:val="00BA23A8"/>
    <w:rsid w:val="00BA2838"/>
    <w:rsid w:val="00BA4168"/>
    <w:rsid w:val="00BA6D13"/>
    <w:rsid w:val="00BA76B8"/>
    <w:rsid w:val="00BA78F7"/>
    <w:rsid w:val="00BA7F16"/>
    <w:rsid w:val="00BB0C9E"/>
    <w:rsid w:val="00BB2A01"/>
    <w:rsid w:val="00BB2A0B"/>
    <w:rsid w:val="00BC3AC6"/>
    <w:rsid w:val="00BC3C22"/>
    <w:rsid w:val="00BC49B7"/>
    <w:rsid w:val="00BC6373"/>
    <w:rsid w:val="00BC7A7D"/>
    <w:rsid w:val="00BD2400"/>
    <w:rsid w:val="00BD2906"/>
    <w:rsid w:val="00BD2DF5"/>
    <w:rsid w:val="00BD2F91"/>
    <w:rsid w:val="00BD4350"/>
    <w:rsid w:val="00BD56E8"/>
    <w:rsid w:val="00BE263B"/>
    <w:rsid w:val="00BE2F83"/>
    <w:rsid w:val="00BE6593"/>
    <w:rsid w:val="00BE7287"/>
    <w:rsid w:val="00BF0E59"/>
    <w:rsid w:val="00BF1E90"/>
    <w:rsid w:val="00BF22D5"/>
    <w:rsid w:val="00BF26C1"/>
    <w:rsid w:val="00BF4B30"/>
    <w:rsid w:val="00BF630F"/>
    <w:rsid w:val="00C0136D"/>
    <w:rsid w:val="00C01CAF"/>
    <w:rsid w:val="00C0210E"/>
    <w:rsid w:val="00C02387"/>
    <w:rsid w:val="00C03ED7"/>
    <w:rsid w:val="00C059C9"/>
    <w:rsid w:val="00C1191B"/>
    <w:rsid w:val="00C12619"/>
    <w:rsid w:val="00C15142"/>
    <w:rsid w:val="00C151BA"/>
    <w:rsid w:val="00C22931"/>
    <w:rsid w:val="00C2369B"/>
    <w:rsid w:val="00C248E1"/>
    <w:rsid w:val="00C24A3C"/>
    <w:rsid w:val="00C261F3"/>
    <w:rsid w:val="00C30A78"/>
    <w:rsid w:val="00C31D59"/>
    <w:rsid w:val="00C3347F"/>
    <w:rsid w:val="00C33E2D"/>
    <w:rsid w:val="00C355FF"/>
    <w:rsid w:val="00C3678F"/>
    <w:rsid w:val="00C401D3"/>
    <w:rsid w:val="00C40BE2"/>
    <w:rsid w:val="00C41737"/>
    <w:rsid w:val="00C41D60"/>
    <w:rsid w:val="00C42DC9"/>
    <w:rsid w:val="00C56C6B"/>
    <w:rsid w:val="00C60678"/>
    <w:rsid w:val="00C625F6"/>
    <w:rsid w:val="00C62829"/>
    <w:rsid w:val="00C64DC9"/>
    <w:rsid w:val="00C7052D"/>
    <w:rsid w:val="00C70CFD"/>
    <w:rsid w:val="00C7196B"/>
    <w:rsid w:val="00C72059"/>
    <w:rsid w:val="00C7451B"/>
    <w:rsid w:val="00C769F0"/>
    <w:rsid w:val="00C808EC"/>
    <w:rsid w:val="00C82B5B"/>
    <w:rsid w:val="00C82DE1"/>
    <w:rsid w:val="00C832CD"/>
    <w:rsid w:val="00C856A3"/>
    <w:rsid w:val="00C87B60"/>
    <w:rsid w:val="00C900BE"/>
    <w:rsid w:val="00C909AD"/>
    <w:rsid w:val="00C90B5E"/>
    <w:rsid w:val="00C91523"/>
    <w:rsid w:val="00C9229D"/>
    <w:rsid w:val="00C926D0"/>
    <w:rsid w:val="00C92AF2"/>
    <w:rsid w:val="00C93A62"/>
    <w:rsid w:val="00CA2D09"/>
    <w:rsid w:val="00CA3144"/>
    <w:rsid w:val="00CA463C"/>
    <w:rsid w:val="00CA5F37"/>
    <w:rsid w:val="00CA760E"/>
    <w:rsid w:val="00CA788C"/>
    <w:rsid w:val="00CA7B03"/>
    <w:rsid w:val="00CB0358"/>
    <w:rsid w:val="00CB0BA8"/>
    <w:rsid w:val="00CB11E6"/>
    <w:rsid w:val="00CB1818"/>
    <w:rsid w:val="00CB3894"/>
    <w:rsid w:val="00CB3B62"/>
    <w:rsid w:val="00CB3BE6"/>
    <w:rsid w:val="00CB5812"/>
    <w:rsid w:val="00CB6241"/>
    <w:rsid w:val="00CB6AB6"/>
    <w:rsid w:val="00CB75AE"/>
    <w:rsid w:val="00CC15F1"/>
    <w:rsid w:val="00CC317E"/>
    <w:rsid w:val="00CC7A25"/>
    <w:rsid w:val="00CC7B56"/>
    <w:rsid w:val="00CD25B8"/>
    <w:rsid w:val="00CD32AD"/>
    <w:rsid w:val="00CD68FC"/>
    <w:rsid w:val="00CD74AA"/>
    <w:rsid w:val="00CE1838"/>
    <w:rsid w:val="00CE2D53"/>
    <w:rsid w:val="00CE31EE"/>
    <w:rsid w:val="00CE3E4F"/>
    <w:rsid w:val="00CE45A1"/>
    <w:rsid w:val="00CE5762"/>
    <w:rsid w:val="00CF1E9D"/>
    <w:rsid w:val="00CF1EFE"/>
    <w:rsid w:val="00CF4805"/>
    <w:rsid w:val="00CF5ADC"/>
    <w:rsid w:val="00CF7AE9"/>
    <w:rsid w:val="00D02193"/>
    <w:rsid w:val="00D03A50"/>
    <w:rsid w:val="00D05A59"/>
    <w:rsid w:val="00D0612B"/>
    <w:rsid w:val="00D0637C"/>
    <w:rsid w:val="00D1136C"/>
    <w:rsid w:val="00D16DA8"/>
    <w:rsid w:val="00D209D6"/>
    <w:rsid w:val="00D24FC3"/>
    <w:rsid w:val="00D25E43"/>
    <w:rsid w:val="00D3092C"/>
    <w:rsid w:val="00D30D01"/>
    <w:rsid w:val="00D30D90"/>
    <w:rsid w:val="00D30E6C"/>
    <w:rsid w:val="00D33B29"/>
    <w:rsid w:val="00D34991"/>
    <w:rsid w:val="00D35F62"/>
    <w:rsid w:val="00D37C95"/>
    <w:rsid w:val="00D422C1"/>
    <w:rsid w:val="00D42F06"/>
    <w:rsid w:val="00D44035"/>
    <w:rsid w:val="00D440F7"/>
    <w:rsid w:val="00D44C77"/>
    <w:rsid w:val="00D45C17"/>
    <w:rsid w:val="00D46BA5"/>
    <w:rsid w:val="00D46DE5"/>
    <w:rsid w:val="00D47813"/>
    <w:rsid w:val="00D5025B"/>
    <w:rsid w:val="00D5082F"/>
    <w:rsid w:val="00D518C2"/>
    <w:rsid w:val="00D51AB7"/>
    <w:rsid w:val="00D5299D"/>
    <w:rsid w:val="00D55AC4"/>
    <w:rsid w:val="00D55C7B"/>
    <w:rsid w:val="00D56514"/>
    <w:rsid w:val="00D569C3"/>
    <w:rsid w:val="00D56DA7"/>
    <w:rsid w:val="00D570B3"/>
    <w:rsid w:val="00D60DC7"/>
    <w:rsid w:val="00D61C71"/>
    <w:rsid w:val="00D6346B"/>
    <w:rsid w:val="00D63C68"/>
    <w:rsid w:val="00D63F9B"/>
    <w:rsid w:val="00D67895"/>
    <w:rsid w:val="00D67E56"/>
    <w:rsid w:val="00D707D3"/>
    <w:rsid w:val="00D70812"/>
    <w:rsid w:val="00D74532"/>
    <w:rsid w:val="00D754BA"/>
    <w:rsid w:val="00D75FBB"/>
    <w:rsid w:val="00D80452"/>
    <w:rsid w:val="00D805F1"/>
    <w:rsid w:val="00D830A8"/>
    <w:rsid w:val="00D83E79"/>
    <w:rsid w:val="00D84435"/>
    <w:rsid w:val="00D84C62"/>
    <w:rsid w:val="00D85DF3"/>
    <w:rsid w:val="00D906E7"/>
    <w:rsid w:val="00D908D4"/>
    <w:rsid w:val="00D90F99"/>
    <w:rsid w:val="00D919D5"/>
    <w:rsid w:val="00D93901"/>
    <w:rsid w:val="00D94184"/>
    <w:rsid w:val="00DA0A0E"/>
    <w:rsid w:val="00DA1B25"/>
    <w:rsid w:val="00DA4211"/>
    <w:rsid w:val="00DA59BF"/>
    <w:rsid w:val="00DA6EE1"/>
    <w:rsid w:val="00DA7BC8"/>
    <w:rsid w:val="00DA7FE5"/>
    <w:rsid w:val="00DB08BD"/>
    <w:rsid w:val="00DB2A4B"/>
    <w:rsid w:val="00DB43DD"/>
    <w:rsid w:val="00DB5743"/>
    <w:rsid w:val="00DB5B51"/>
    <w:rsid w:val="00DB620F"/>
    <w:rsid w:val="00DB65F8"/>
    <w:rsid w:val="00DB74DB"/>
    <w:rsid w:val="00DB7B95"/>
    <w:rsid w:val="00DC05BC"/>
    <w:rsid w:val="00DC2D74"/>
    <w:rsid w:val="00DC4CCF"/>
    <w:rsid w:val="00DC4D42"/>
    <w:rsid w:val="00DC5973"/>
    <w:rsid w:val="00DC5AD3"/>
    <w:rsid w:val="00DC6EC0"/>
    <w:rsid w:val="00DC75A6"/>
    <w:rsid w:val="00DD0D9A"/>
    <w:rsid w:val="00DD2D11"/>
    <w:rsid w:val="00DD6AA8"/>
    <w:rsid w:val="00DD6C36"/>
    <w:rsid w:val="00DE3650"/>
    <w:rsid w:val="00DE51D4"/>
    <w:rsid w:val="00DE587C"/>
    <w:rsid w:val="00DE5BE7"/>
    <w:rsid w:val="00DF0152"/>
    <w:rsid w:val="00DF06FC"/>
    <w:rsid w:val="00DF0AF7"/>
    <w:rsid w:val="00DF1130"/>
    <w:rsid w:val="00DF31A7"/>
    <w:rsid w:val="00DF4EC4"/>
    <w:rsid w:val="00DF57BF"/>
    <w:rsid w:val="00DF5B69"/>
    <w:rsid w:val="00DF7026"/>
    <w:rsid w:val="00DF77CF"/>
    <w:rsid w:val="00DF7C5F"/>
    <w:rsid w:val="00E00BEE"/>
    <w:rsid w:val="00E00EDF"/>
    <w:rsid w:val="00E01002"/>
    <w:rsid w:val="00E04240"/>
    <w:rsid w:val="00E0470B"/>
    <w:rsid w:val="00E11FA9"/>
    <w:rsid w:val="00E12A55"/>
    <w:rsid w:val="00E14691"/>
    <w:rsid w:val="00E14AF2"/>
    <w:rsid w:val="00E155E1"/>
    <w:rsid w:val="00E15C76"/>
    <w:rsid w:val="00E15CAF"/>
    <w:rsid w:val="00E170E4"/>
    <w:rsid w:val="00E17506"/>
    <w:rsid w:val="00E24607"/>
    <w:rsid w:val="00E247C8"/>
    <w:rsid w:val="00E24C4B"/>
    <w:rsid w:val="00E332F3"/>
    <w:rsid w:val="00E34EE6"/>
    <w:rsid w:val="00E365F7"/>
    <w:rsid w:val="00E404F4"/>
    <w:rsid w:val="00E447C9"/>
    <w:rsid w:val="00E456B1"/>
    <w:rsid w:val="00E45A97"/>
    <w:rsid w:val="00E46864"/>
    <w:rsid w:val="00E514C5"/>
    <w:rsid w:val="00E5181D"/>
    <w:rsid w:val="00E51EA3"/>
    <w:rsid w:val="00E520B1"/>
    <w:rsid w:val="00E52B50"/>
    <w:rsid w:val="00E53A37"/>
    <w:rsid w:val="00E674B7"/>
    <w:rsid w:val="00E70ECF"/>
    <w:rsid w:val="00E71689"/>
    <w:rsid w:val="00E72008"/>
    <w:rsid w:val="00E7337A"/>
    <w:rsid w:val="00E73B7E"/>
    <w:rsid w:val="00E74509"/>
    <w:rsid w:val="00E755A0"/>
    <w:rsid w:val="00E75D21"/>
    <w:rsid w:val="00E77822"/>
    <w:rsid w:val="00E80C78"/>
    <w:rsid w:val="00E81A1F"/>
    <w:rsid w:val="00E8444A"/>
    <w:rsid w:val="00E84B1F"/>
    <w:rsid w:val="00E86890"/>
    <w:rsid w:val="00E87EB5"/>
    <w:rsid w:val="00E908B8"/>
    <w:rsid w:val="00E916DA"/>
    <w:rsid w:val="00E91BBB"/>
    <w:rsid w:val="00E92E9D"/>
    <w:rsid w:val="00E937AE"/>
    <w:rsid w:val="00E9398D"/>
    <w:rsid w:val="00E95A2D"/>
    <w:rsid w:val="00E96240"/>
    <w:rsid w:val="00E97007"/>
    <w:rsid w:val="00EA0053"/>
    <w:rsid w:val="00EA0402"/>
    <w:rsid w:val="00EA07A5"/>
    <w:rsid w:val="00EA0CE7"/>
    <w:rsid w:val="00EA5630"/>
    <w:rsid w:val="00EB05B4"/>
    <w:rsid w:val="00EB3724"/>
    <w:rsid w:val="00EB4978"/>
    <w:rsid w:val="00EB5F3D"/>
    <w:rsid w:val="00EB7A2B"/>
    <w:rsid w:val="00EC0AAA"/>
    <w:rsid w:val="00EC17E3"/>
    <w:rsid w:val="00EC212F"/>
    <w:rsid w:val="00EC2D08"/>
    <w:rsid w:val="00EC34A5"/>
    <w:rsid w:val="00EC4B13"/>
    <w:rsid w:val="00EC5B26"/>
    <w:rsid w:val="00EC61BB"/>
    <w:rsid w:val="00EC6537"/>
    <w:rsid w:val="00ED0172"/>
    <w:rsid w:val="00ED23B9"/>
    <w:rsid w:val="00ED2AB3"/>
    <w:rsid w:val="00EE0A6A"/>
    <w:rsid w:val="00EE1210"/>
    <w:rsid w:val="00EE1E9E"/>
    <w:rsid w:val="00EE2712"/>
    <w:rsid w:val="00EE37F0"/>
    <w:rsid w:val="00EE3BA1"/>
    <w:rsid w:val="00EE52F7"/>
    <w:rsid w:val="00EE70B0"/>
    <w:rsid w:val="00EF0842"/>
    <w:rsid w:val="00EF2D78"/>
    <w:rsid w:val="00EF2FFC"/>
    <w:rsid w:val="00EF663F"/>
    <w:rsid w:val="00EF7529"/>
    <w:rsid w:val="00F000E3"/>
    <w:rsid w:val="00F0034B"/>
    <w:rsid w:val="00F03F83"/>
    <w:rsid w:val="00F04829"/>
    <w:rsid w:val="00F064BA"/>
    <w:rsid w:val="00F072AE"/>
    <w:rsid w:val="00F10D04"/>
    <w:rsid w:val="00F12B18"/>
    <w:rsid w:val="00F16B6A"/>
    <w:rsid w:val="00F16CD2"/>
    <w:rsid w:val="00F21626"/>
    <w:rsid w:val="00F223C3"/>
    <w:rsid w:val="00F23A3E"/>
    <w:rsid w:val="00F24160"/>
    <w:rsid w:val="00F25BD0"/>
    <w:rsid w:val="00F331B0"/>
    <w:rsid w:val="00F33246"/>
    <w:rsid w:val="00F35E23"/>
    <w:rsid w:val="00F408B6"/>
    <w:rsid w:val="00F412F0"/>
    <w:rsid w:val="00F4279D"/>
    <w:rsid w:val="00F4393F"/>
    <w:rsid w:val="00F465A9"/>
    <w:rsid w:val="00F47646"/>
    <w:rsid w:val="00F52C51"/>
    <w:rsid w:val="00F53393"/>
    <w:rsid w:val="00F53DCC"/>
    <w:rsid w:val="00F5683E"/>
    <w:rsid w:val="00F56CCC"/>
    <w:rsid w:val="00F618A0"/>
    <w:rsid w:val="00F63688"/>
    <w:rsid w:val="00F654AE"/>
    <w:rsid w:val="00F656C8"/>
    <w:rsid w:val="00F70592"/>
    <w:rsid w:val="00F72773"/>
    <w:rsid w:val="00F73959"/>
    <w:rsid w:val="00F7423B"/>
    <w:rsid w:val="00F755EF"/>
    <w:rsid w:val="00F76AA7"/>
    <w:rsid w:val="00F812AA"/>
    <w:rsid w:val="00F85948"/>
    <w:rsid w:val="00F86F74"/>
    <w:rsid w:val="00F870ED"/>
    <w:rsid w:val="00F87808"/>
    <w:rsid w:val="00F87C3B"/>
    <w:rsid w:val="00F900F5"/>
    <w:rsid w:val="00F9078E"/>
    <w:rsid w:val="00F90AB6"/>
    <w:rsid w:val="00F90E8D"/>
    <w:rsid w:val="00FA1087"/>
    <w:rsid w:val="00FA35AA"/>
    <w:rsid w:val="00FA4F09"/>
    <w:rsid w:val="00FA7858"/>
    <w:rsid w:val="00FB180C"/>
    <w:rsid w:val="00FB2070"/>
    <w:rsid w:val="00FB4A40"/>
    <w:rsid w:val="00FB4B8F"/>
    <w:rsid w:val="00FB5F7B"/>
    <w:rsid w:val="00FB6F3D"/>
    <w:rsid w:val="00FC1C12"/>
    <w:rsid w:val="00FC509A"/>
    <w:rsid w:val="00FC6B6F"/>
    <w:rsid w:val="00FD02A0"/>
    <w:rsid w:val="00FD1A24"/>
    <w:rsid w:val="00FD20BC"/>
    <w:rsid w:val="00FD3E90"/>
    <w:rsid w:val="00FD58BD"/>
    <w:rsid w:val="00FD5E1D"/>
    <w:rsid w:val="00FD7463"/>
    <w:rsid w:val="00FD767E"/>
    <w:rsid w:val="00FE026E"/>
    <w:rsid w:val="00FE1693"/>
    <w:rsid w:val="00FE39BD"/>
    <w:rsid w:val="00FF14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1725840"/>
  <w14:defaultImageDpi w14:val="300"/>
  <w15:docId w15:val="{CF7F17C8-21DD-47B5-A5D3-964684A7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before="20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0D8"/>
    <w:pPr>
      <w:spacing w:before="120"/>
    </w:pPr>
    <w:rPr>
      <w:rFonts w:ascii="Arial" w:hAnsi="Arial" w:cs="Arial"/>
      <w:sz w:val="22"/>
      <w:szCs w:val="20"/>
    </w:rPr>
  </w:style>
  <w:style w:type="paragraph" w:styleId="Heading1">
    <w:name w:val="heading 1"/>
    <w:basedOn w:val="Normal"/>
    <w:next w:val="Normal"/>
    <w:link w:val="Heading1Char"/>
    <w:uiPriority w:val="9"/>
    <w:qFormat/>
    <w:rsid w:val="00DC5973"/>
    <w:pPr>
      <w:keepNext/>
      <w:keepLines/>
      <w:suppressAutoHyphens/>
      <w:spacing w:after="1200"/>
      <w:outlineLvl w:val="0"/>
    </w:pPr>
    <w:rPr>
      <w:b/>
      <w:color w:val="D84920"/>
      <w:sz w:val="50"/>
      <w:szCs w:val="50"/>
    </w:rPr>
  </w:style>
  <w:style w:type="paragraph" w:styleId="Heading2">
    <w:name w:val="heading 2"/>
    <w:basedOn w:val="Normal"/>
    <w:next w:val="Normal"/>
    <w:link w:val="Heading2Char"/>
    <w:uiPriority w:val="9"/>
    <w:unhideWhenUsed/>
    <w:qFormat/>
    <w:rsid w:val="0033740F"/>
    <w:pPr>
      <w:keepNext/>
      <w:keepLines/>
      <w:spacing w:before="240" w:line="240" w:lineRule="auto"/>
      <w:outlineLvl w:val="1"/>
    </w:pPr>
    <w:rPr>
      <w:rFonts w:eastAsiaTheme="majorEastAsia" w:cstheme="majorBidi"/>
      <w:b/>
      <w:bCs/>
      <w:color w:val="E36C0A" w:themeColor="accent6" w:themeShade="BF"/>
      <w:sz w:val="32"/>
      <w:szCs w:val="26"/>
    </w:rPr>
  </w:style>
  <w:style w:type="paragraph" w:styleId="Heading3">
    <w:name w:val="heading 3"/>
    <w:basedOn w:val="Normal"/>
    <w:next w:val="Normal"/>
    <w:link w:val="Heading3Char"/>
    <w:autoRedefine/>
    <w:uiPriority w:val="9"/>
    <w:unhideWhenUsed/>
    <w:qFormat/>
    <w:rsid w:val="006934E1"/>
    <w:pPr>
      <w:keepNext/>
      <w:keepLines/>
      <w:spacing w:line="240" w:lineRule="auto"/>
      <w:outlineLvl w:val="2"/>
    </w:pPr>
    <w:rPr>
      <w:rFonts w:eastAsiaTheme="majorEastAsia" w:cstheme="majorBidi"/>
      <w:b/>
      <w:bCs/>
      <w:color w:val="E36C0A" w:themeColor="accent6" w:themeShade="BF"/>
      <w:sz w:val="24"/>
      <w:szCs w:val="24"/>
      <w:lang w:val="en-AU"/>
    </w:rPr>
  </w:style>
  <w:style w:type="paragraph" w:styleId="Heading4">
    <w:name w:val="heading 4"/>
    <w:basedOn w:val="Heading3"/>
    <w:next w:val="Normal"/>
    <w:link w:val="Heading4Char"/>
    <w:uiPriority w:val="9"/>
    <w:unhideWhenUsed/>
    <w:qFormat/>
    <w:rsid w:val="00AF40D8"/>
    <w:pPr>
      <w:outlineLvl w:val="3"/>
    </w:pPr>
    <w:rPr>
      <w:sz w:val="22"/>
    </w:rPr>
  </w:style>
  <w:style w:type="paragraph" w:styleId="Heading5">
    <w:name w:val="heading 5"/>
    <w:basedOn w:val="Normal"/>
    <w:next w:val="Normal"/>
    <w:link w:val="Heading5Char"/>
    <w:uiPriority w:val="9"/>
    <w:semiHidden/>
    <w:unhideWhenUsed/>
    <w:qFormat/>
    <w:rsid w:val="00EF663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67F41"/>
    <w:rPr>
      <w:rFonts w:ascii="Lucida Grande" w:hAnsi="Lucida Grande"/>
      <w:sz w:val="18"/>
      <w:szCs w:val="18"/>
    </w:rPr>
  </w:style>
  <w:style w:type="paragraph" w:styleId="Header">
    <w:name w:val="header"/>
    <w:basedOn w:val="Normal"/>
    <w:link w:val="HeaderChar"/>
    <w:uiPriority w:val="99"/>
    <w:unhideWhenUsed/>
    <w:rsid w:val="002142C6"/>
    <w:pPr>
      <w:tabs>
        <w:tab w:val="center" w:pos="4320"/>
        <w:tab w:val="right" w:pos="8640"/>
      </w:tabs>
    </w:pPr>
  </w:style>
  <w:style w:type="character" w:customStyle="1" w:styleId="HeaderChar">
    <w:name w:val="Header Char"/>
    <w:basedOn w:val="DefaultParagraphFont"/>
    <w:link w:val="Header"/>
    <w:uiPriority w:val="99"/>
    <w:rsid w:val="002142C6"/>
  </w:style>
  <w:style w:type="paragraph" w:styleId="Footer">
    <w:name w:val="footer"/>
    <w:basedOn w:val="Normal"/>
    <w:link w:val="FooterChar"/>
    <w:uiPriority w:val="99"/>
    <w:unhideWhenUsed/>
    <w:rsid w:val="002142C6"/>
    <w:pPr>
      <w:tabs>
        <w:tab w:val="center" w:pos="4320"/>
        <w:tab w:val="right" w:pos="8640"/>
      </w:tabs>
    </w:pPr>
  </w:style>
  <w:style w:type="character" w:customStyle="1" w:styleId="FooterChar">
    <w:name w:val="Footer Char"/>
    <w:basedOn w:val="DefaultParagraphFont"/>
    <w:link w:val="Footer"/>
    <w:uiPriority w:val="99"/>
    <w:rsid w:val="002142C6"/>
  </w:style>
  <w:style w:type="paragraph" w:customStyle="1" w:styleId="BasicParagraph">
    <w:name w:val="[Basic Paragraph]"/>
    <w:basedOn w:val="Normal"/>
    <w:uiPriority w:val="99"/>
    <w:rsid w:val="00014C2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583743"/>
  </w:style>
  <w:style w:type="table" w:styleId="LightShading-Accent1">
    <w:name w:val="Light Shading Accent 1"/>
    <w:basedOn w:val="TableNormal"/>
    <w:uiPriority w:val="60"/>
    <w:rsid w:val="0058374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25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Breakouthead">
    <w:name w:val="VC_Breakout head"/>
    <w:basedOn w:val="Normal"/>
    <w:qFormat/>
    <w:rsid w:val="00DC5973"/>
    <w:pPr>
      <w:suppressAutoHyphens/>
      <w:spacing w:after="60"/>
    </w:pPr>
    <w:rPr>
      <w:b/>
      <w:color w:val="000000" w:themeColor="text1"/>
    </w:rPr>
  </w:style>
  <w:style w:type="paragraph" w:customStyle="1" w:styleId="VCBreakoutcopy">
    <w:name w:val="VC_Breakout copy"/>
    <w:basedOn w:val="Normal"/>
    <w:qFormat/>
    <w:rsid w:val="00DC5973"/>
    <w:pPr>
      <w:suppressAutoHyphens/>
    </w:pPr>
    <w:rPr>
      <w:color w:val="000000" w:themeColor="text1"/>
    </w:rPr>
  </w:style>
  <w:style w:type="character" w:customStyle="1" w:styleId="Heading1Char">
    <w:name w:val="Heading 1 Char"/>
    <w:basedOn w:val="DefaultParagraphFont"/>
    <w:link w:val="Heading1"/>
    <w:uiPriority w:val="9"/>
    <w:rsid w:val="006720A0"/>
    <w:rPr>
      <w:rFonts w:ascii="Arial" w:hAnsi="Arial" w:cs="Arial"/>
      <w:b/>
      <w:color w:val="D84920"/>
      <w:sz w:val="50"/>
      <w:szCs w:val="50"/>
    </w:rPr>
  </w:style>
  <w:style w:type="paragraph" w:styleId="TOCHeading">
    <w:name w:val="TOC Heading"/>
    <w:basedOn w:val="Heading1"/>
    <w:next w:val="Normal"/>
    <w:uiPriority w:val="39"/>
    <w:unhideWhenUsed/>
    <w:qFormat/>
    <w:rsid w:val="002D294A"/>
    <w:pPr>
      <w:spacing w:line="276" w:lineRule="auto"/>
      <w:outlineLvl w:val="9"/>
    </w:pPr>
    <w:rPr>
      <w:lang w:eastAsia="ja-JP"/>
    </w:rPr>
  </w:style>
  <w:style w:type="character" w:customStyle="1" w:styleId="Heading2Char">
    <w:name w:val="Heading 2 Char"/>
    <w:basedOn w:val="DefaultParagraphFont"/>
    <w:link w:val="Heading2"/>
    <w:uiPriority w:val="9"/>
    <w:rsid w:val="0033740F"/>
    <w:rPr>
      <w:rFonts w:ascii="Arial" w:eastAsiaTheme="majorEastAsia" w:hAnsi="Arial" w:cstheme="majorBidi"/>
      <w:b/>
      <w:bCs/>
      <w:color w:val="E36C0A" w:themeColor="accent6" w:themeShade="BF"/>
      <w:sz w:val="32"/>
      <w:szCs w:val="26"/>
    </w:rPr>
  </w:style>
  <w:style w:type="character" w:customStyle="1" w:styleId="Heading3Char">
    <w:name w:val="Heading 3 Char"/>
    <w:basedOn w:val="DefaultParagraphFont"/>
    <w:link w:val="Heading3"/>
    <w:uiPriority w:val="9"/>
    <w:rsid w:val="006934E1"/>
    <w:rPr>
      <w:rFonts w:ascii="Arial" w:eastAsiaTheme="majorEastAsia" w:hAnsi="Arial" w:cstheme="majorBidi"/>
      <w:b/>
      <w:bCs/>
      <w:color w:val="E36C0A" w:themeColor="accent6" w:themeShade="BF"/>
      <w:lang w:val="en-AU"/>
    </w:rPr>
  </w:style>
  <w:style w:type="paragraph" w:styleId="TOC1">
    <w:name w:val="toc 1"/>
    <w:basedOn w:val="Normal"/>
    <w:next w:val="Normal"/>
    <w:autoRedefine/>
    <w:uiPriority w:val="39"/>
    <w:unhideWhenUsed/>
    <w:rsid w:val="004E2C9E"/>
    <w:pPr>
      <w:spacing w:after="100"/>
    </w:pPr>
    <w:rPr>
      <w:b/>
    </w:rPr>
  </w:style>
  <w:style w:type="paragraph" w:styleId="TOC2">
    <w:name w:val="toc 2"/>
    <w:basedOn w:val="Normal"/>
    <w:next w:val="Normal"/>
    <w:autoRedefine/>
    <w:uiPriority w:val="39"/>
    <w:unhideWhenUsed/>
    <w:rsid w:val="002D294A"/>
    <w:pPr>
      <w:spacing w:after="100"/>
      <w:ind w:left="240"/>
    </w:pPr>
  </w:style>
  <w:style w:type="paragraph" w:styleId="TOC3">
    <w:name w:val="toc 3"/>
    <w:basedOn w:val="Normal"/>
    <w:next w:val="Normal"/>
    <w:autoRedefine/>
    <w:uiPriority w:val="39"/>
    <w:unhideWhenUsed/>
    <w:rsid w:val="002D294A"/>
    <w:pPr>
      <w:spacing w:after="100"/>
      <w:ind w:left="480"/>
    </w:pPr>
  </w:style>
  <w:style w:type="character" w:styleId="Hyperlink">
    <w:name w:val="Hyperlink"/>
    <w:basedOn w:val="DefaultParagraphFont"/>
    <w:uiPriority w:val="99"/>
    <w:unhideWhenUsed/>
    <w:qFormat/>
    <w:rsid w:val="006720A0"/>
    <w:rPr>
      <w:rFonts w:ascii="Arial" w:hAnsi="Arial"/>
      <w:color w:val="E36C0A" w:themeColor="accent6" w:themeShade="BF"/>
      <w:sz w:val="22"/>
      <w:u w:val="single"/>
    </w:rPr>
  </w:style>
  <w:style w:type="paragraph" w:customStyle="1" w:styleId="Titlecover">
    <w:name w:val="Title (cover)"/>
    <w:basedOn w:val="Normal"/>
    <w:qFormat/>
    <w:rsid w:val="00FD02A0"/>
    <w:pPr>
      <w:spacing w:before="5700" w:line="240" w:lineRule="auto"/>
      <w:ind w:left="1247"/>
    </w:pPr>
    <w:rPr>
      <w:b/>
      <w:noProof/>
      <w:color w:val="FFFFFF" w:themeColor="background1"/>
      <w:sz w:val="80"/>
      <w:szCs w:val="80"/>
      <w:lang w:val="en-AU" w:eastAsia="en-AU"/>
    </w:rPr>
  </w:style>
  <w:style w:type="paragraph" w:customStyle="1" w:styleId="Subtitlecover">
    <w:name w:val="Subtitle (cover)"/>
    <w:basedOn w:val="Titlecover"/>
    <w:qFormat/>
    <w:rsid w:val="00BE2F83"/>
    <w:pPr>
      <w:spacing w:before="120"/>
    </w:pPr>
    <w:rPr>
      <w:sz w:val="50"/>
      <w:szCs w:val="50"/>
    </w:rPr>
  </w:style>
  <w:style w:type="paragraph" w:customStyle="1" w:styleId="Datecover">
    <w:name w:val="Date (cover)"/>
    <w:basedOn w:val="Normal"/>
    <w:qFormat/>
    <w:rsid w:val="001607B4"/>
    <w:pPr>
      <w:ind w:left="1276"/>
    </w:pPr>
    <w:rPr>
      <w:sz w:val="32"/>
      <w:szCs w:val="32"/>
    </w:rPr>
  </w:style>
  <w:style w:type="paragraph" w:customStyle="1" w:styleId="Abouttext">
    <w:name w:val="About text"/>
    <w:basedOn w:val="Normal"/>
    <w:qFormat/>
    <w:rsid w:val="009B534B"/>
    <w:pPr>
      <w:spacing w:after="454"/>
      <w:ind w:left="5893" w:right="1268"/>
    </w:pPr>
    <w:rPr>
      <w:noProof/>
      <w:sz w:val="20"/>
      <w:lang w:val="en-AU" w:eastAsia="en-AU"/>
    </w:rPr>
  </w:style>
  <w:style w:type="paragraph" w:customStyle="1" w:styleId="Abouthead">
    <w:name w:val="About head"/>
    <w:basedOn w:val="BasicParagraph"/>
    <w:qFormat/>
    <w:rsid w:val="009B534B"/>
    <w:pPr>
      <w:suppressAutoHyphens/>
      <w:spacing w:before="5880" w:after="113"/>
      <w:ind w:left="5891" w:right="1270"/>
    </w:pPr>
    <w:rPr>
      <w:rFonts w:ascii="Arial" w:hAnsi="Arial" w:cs="Arial"/>
      <w:b/>
      <w:bCs/>
      <w:color w:val="D84920"/>
      <w:sz w:val="28"/>
      <w:szCs w:val="28"/>
    </w:rPr>
  </w:style>
  <w:style w:type="paragraph" w:customStyle="1" w:styleId="Aboutdetails">
    <w:name w:val="About details"/>
    <w:basedOn w:val="Abouttext"/>
    <w:qFormat/>
    <w:rsid w:val="009B534B"/>
    <w:pPr>
      <w:spacing w:after="170"/>
      <w:ind w:left="5891" w:right="1270"/>
    </w:pPr>
  </w:style>
  <w:style w:type="character" w:customStyle="1" w:styleId="Heading4Char">
    <w:name w:val="Heading 4 Char"/>
    <w:basedOn w:val="DefaultParagraphFont"/>
    <w:link w:val="Heading4"/>
    <w:uiPriority w:val="9"/>
    <w:rsid w:val="00AF40D8"/>
    <w:rPr>
      <w:rFonts w:ascii="Arial" w:eastAsiaTheme="majorEastAsia" w:hAnsi="Arial" w:cstheme="majorBidi"/>
      <w:b/>
      <w:bCs/>
      <w:color w:val="E36C0A" w:themeColor="accent6" w:themeShade="BF"/>
      <w:sz w:val="22"/>
    </w:rPr>
  </w:style>
  <w:style w:type="paragraph" w:styleId="ListParagraph">
    <w:name w:val="List Paragraph"/>
    <w:basedOn w:val="Normal"/>
    <w:link w:val="ListParagraphChar"/>
    <w:uiPriority w:val="34"/>
    <w:qFormat/>
    <w:rsid w:val="002836D5"/>
    <w:pPr>
      <w:numPr>
        <w:numId w:val="1"/>
      </w:numPr>
      <w:contextualSpacing/>
    </w:pPr>
  </w:style>
  <w:style w:type="paragraph" w:styleId="Caption">
    <w:name w:val="caption"/>
    <w:basedOn w:val="Normal"/>
    <w:next w:val="Normal"/>
    <w:uiPriority w:val="35"/>
    <w:unhideWhenUsed/>
    <w:qFormat/>
    <w:rsid w:val="002836D5"/>
    <w:pPr>
      <w:keepNext/>
      <w:spacing w:before="0" w:after="200" w:line="240" w:lineRule="auto"/>
    </w:pPr>
    <w:rPr>
      <w:b/>
      <w:bCs/>
      <w:sz w:val="18"/>
      <w:szCs w:val="18"/>
    </w:rPr>
  </w:style>
  <w:style w:type="paragraph" w:customStyle="1" w:styleId="Boxlist">
    <w:name w:val="Box list"/>
    <w:basedOn w:val="Boxtext"/>
    <w:qFormat/>
    <w:rsid w:val="004943E5"/>
    <w:pPr>
      <w:keepLines/>
      <w:numPr>
        <w:numId w:val="2"/>
      </w:numPr>
      <w:pBdr>
        <w:top w:val="single" w:sz="18" w:space="1" w:color="E9E9C7"/>
        <w:left w:val="single" w:sz="48" w:space="11" w:color="E9E9C7"/>
        <w:bottom w:val="single" w:sz="18" w:space="1" w:color="E9E9C7"/>
        <w:right w:val="single" w:sz="48" w:space="11" w:color="E9E9C7"/>
        <w:between w:val="single" w:sz="18" w:space="1" w:color="E9E9C7"/>
      </w:pBdr>
      <w:spacing w:line="240" w:lineRule="auto"/>
      <w:ind w:right="515"/>
    </w:pPr>
  </w:style>
  <w:style w:type="paragraph" w:customStyle="1" w:styleId="Boxbottom">
    <w:name w:val="Box bottom"/>
    <w:basedOn w:val="Boxlist"/>
    <w:qFormat/>
    <w:rsid w:val="00580A0A"/>
    <w:pPr>
      <w:numPr>
        <w:numId w:val="0"/>
      </w:numPr>
      <w:ind w:left="418"/>
    </w:pPr>
    <w:rPr>
      <w:sz w:val="2"/>
    </w:rPr>
  </w:style>
  <w:style w:type="paragraph" w:customStyle="1" w:styleId="Boxtext">
    <w:name w:val="Box text"/>
    <w:basedOn w:val="Normal"/>
    <w:qFormat/>
    <w:rsid w:val="003A7FD0"/>
    <w:pPr>
      <w:pBdr>
        <w:top w:val="single" w:sz="48" w:space="1" w:color="E9E9C7"/>
        <w:left w:val="single" w:sz="48" w:space="4" w:color="E9E9C7"/>
        <w:bottom w:val="single" w:sz="48" w:space="1" w:color="E9E9C7"/>
        <w:right w:val="single" w:sz="48" w:space="4" w:color="E9E9C7"/>
        <w:between w:val="single" w:sz="48" w:space="1" w:color="E9E9C7"/>
      </w:pBdr>
      <w:shd w:val="clear" w:color="auto" w:fill="E9E9C7"/>
      <w:spacing w:before="0" w:after="0" w:line="276" w:lineRule="auto"/>
      <w:ind w:left="284" w:right="380"/>
    </w:pPr>
    <w:rPr>
      <w:rFonts w:eastAsiaTheme="minorHAnsi"/>
      <w:szCs w:val="22"/>
      <w:lang w:val="en-AU" w:eastAsia="en-AU"/>
    </w:rPr>
  </w:style>
  <w:style w:type="paragraph" w:customStyle="1" w:styleId="Boxprelisttext">
    <w:name w:val="Box prelist text"/>
    <w:basedOn w:val="Boxtext"/>
    <w:next w:val="Boxlist"/>
    <w:qFormat/>
    <w:rsid w:val="004943E5"/>
    <w:pPr>
      <w:pBdr>
        <w:top w:val="single" w:sz="24" w:space="1" w:color="E9E9C7"/>
        <w:bottom w:val="single" w:sz="24" w:space="1" w:color="E9E9C7"/>
      </w:pBdr>
    </w:pPr>
  </w:style>
  <w:style w:type="paragraph" w:customStyle="1" w:styleId="Boxtop">
    <w:name w:val="Box top"/>
    <w:basedOn w:val="Boxprelisttext"/>
    <w:qFormat/>
    <w:rsid w:val="00580A0A"/>
    <w:rPr>
      <w:sz w:val="2"/>
    </w:rPr>
  </w:style>
  <w:style w:type="paragraph" w:styleId="FootnoteText">
    <w:name w:val="footnote text"/>
    <w:aliases w:val="Footnote Text Char3,Footnote Text Char1 Char,Footnote Text Char Char Char,Footnote Text Char1 Char Char Char,Footnote Text Char Char Char Char Char1,Footnote Text Char Char Char Char Char Char Char Char Char Char Char Char Char,single spac"/>
    <w:basedOn w:val="Normal"/>
    <w:link w:val="FootnoteTextChar"/>
    <w:uiPriority w:val="99"/>
    <w:unhideWhenUsed/>
    <w:rsid w:val="00FD02A0"/>
    <w:pPr>
      <w:spacing w:before="0" w:after="0" w:line="240" w:lineRule="auto"/>
    </w:pPr>
    <w:rPr>
      <w:rFonts w:eastAsiaTheme="minorHAnsi" w:cstheme="minorBidi"/>
      <w:sz w:val="16"/>
      <w:lang w:val="en-AU"/>
    </w:rPr>
  </w:style>
  <w:style w:type="character" w:customStyle="1" w:styleId="FootnoteTextChar">
    <w:name w:val="Footnote Text Char"/>
    <w:aliases w:val="Footnote Text Char3 Char,Footnote Text Char1 Char Char,Footnote Text Char Char Char Char,Footnote Text Char1 Char Char Char Char,Footnote Text Char Char Char Char Char1 Char,single spac Char"/>
    <w:basedOn w:val="DefaultParagraphFont"/>
    <w:link w:val="FootnoteText"/>
    <w:uiPriority w:val="99"/>
    <w:rsid w:val="00FD02A0"/>
    <w:rPr>
      <w:rFonts w:ascii="Arial" w:eastAsiaTheme="minorHAnsi" w:hAnsi="Arial"/>
      <w:sz w:val="16"/>
      <w:szCs w:val="20"/>
      <w:lang w:val="en-AU"/>
    </w:rPr>
  </w:style>
  <w:style w:type="table" w:styleId="MediumGrid2-Accent1">
    <w:name w:val="Medium Grid 2 Accent 1"/>
    <w:basedOn w:val="TableNormal"/>
    <w:uiPriority w:val="68"/>
    <w:rsid w:val="006720A0"/>
    <w:pPr>
      <w:spacing w:before="0" w:after="0" w:line="240" w:lineRule="auto"/>
    </w:pPr>
    <w:rPr>
      <w:rFonts w:asciiTheme="majorHAnsi" w:eastAsiaTheme="majorEastAsia" w:hAnsiTheme="majorHAnsi" w:cstheme="majorBidi"/>
      <w:color w:val="000000" w:themeColor="text1"/>
      <w:sz w:val="22"/>
      <w:szCs w:val="22"/>
      <w:lang w:val="en-AU"/>
    </w:rPr>
    <w:tblPr>
      <w:tblStyleRowBandSize w:val="1"/>
      <w:tblStyleColBandSize w:val="1"/>
      <w:tblBorders>
        <w:top w:val="single" w:sz="4" w:space="0" w:color="BFBD59"/>
        <w:left w:val="single" w:sz="4" w:space="0" w:color="BFBD59"/>
        <w:bottom w:val="single" w:sz="4" w:space="0" w:color="BFBD59"/>
        <w:right w:val="single" w:sz="4" w:space="0" w:color="BFBD59"/>
        <w:insideH w:val="single" w:sz="4" w:space="0" w:color="BFBD59"/>
        <w:insideV w:val="single" w:sz="4" w:space="0" w:color="BFBD59"/>
      </w:tblBorders>
    </w:tblPr>
    <w:tcPr>
      <w:shd w:val="clear" w:color="auto" w:fill="D3DFEE" w:themeFill="accent1" w:themeFillTint="3F"/>
    </w:tcPr>
    <w:tblStylePr w:type="firstRow">
      <w:rPr>
        <w:b/>
        <w:bCs/>
        <w:color w:val="000000" w:themeColor="text1"/>
      </w:rPr>
      <w:tblPr/>
      <w:tcPr>
        <w:shd w:val="clear" w:color="auto" w:fill="F4F4E4"/>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shd w:val="clear" w:color="auto" w:fill="E9E9C7"/>
      </w:tcPr>
    </w:tblStylePr>
    <w:tblStylePr w:type="band2Horz">
      <w:tblPr/>
      <w:tcPr>
        <w:shd w:val="clear" w:color="auto" w:fill="D9D89C"/>
      </w:tcPr>
    </w:tblStylePr>
    <w:tblStylePr w:type="nwCell">
      <w:tblPr/>
      <w:tcPr>
        <w:shd w:val="clear" w:color="auto" w:fill="FFFFFF" w:themeFill="background1"/>
      </w:tcPr>
    </w:tblStylePr>
  </w:style>
  <w:style w:type="paragraph" w:customStyle="1" w:styleId="Overviewbox">
    <w:name w:val="Overview box"/>
    <w:basedOn w:val="ListParagraph"/>
    <w:qFormat/>
    <w:rsid w:val="006720A0"/>
    <w:pPr>
      <w:numPr>
        <w:numId w:val="3"/>
      </w:numPr>
      <w:pBdr>
        <w:top w:val="single" w:sz="48" w:space="1" w:color="E9E9C7"/>
        <w:left w:val="single" w:sz="48" w:space="4" w:color="E9E9C7"/>
        <w:bottom w:val="single" w:sz="48" w:space="1" w:color="E9E9C7"/>
        <w:right w:val="single" w:sz="48" w:space="4" w:color="E9E9C7"/>
      </w:pBdr>
      <w:shd w:val="clear" w:color="auto" w:fill="E9E9C7"/>
      <w:spacing w:before="0" w:after="200" w:line="276" w:lineRule="auto"/>
      <w:ind w:right="305"/>
    </w:pPr>
    <w:rPr>
      <w:rFonts w:eastAsiaTheme="minorHAnsi" w:cstheme="minorBidi"/>
      <w:b/>
      <w:sz w:val="20"/>
      <w:lang w:val="en-AU" w:eastAsia="en-AU"/>
    </w:rPr>
  </w:style>
  <w:style w:type="paragraph" w:customStyle="1" w:styleId="Boxheading">
    <w:name w:val="Box heading"/>
    <w:basedOn w:val="Boxtext"/>
    <w:next w:val="Boxtext"/>
    <w:qFormat/>
    <w:rsid w:val="003A7FD0"/>
    <w:rPr>
      <w:b/>
    </w:rPr>
  </w:style>
  <w:style w:type="paragraph" w:customStyle="1" w:styleId="DHHSbullet1">
    <w:name w:val="DHHS bullet 1"/>
    <w:basedOn w:val="Normal"/>
    <w:qFormat/>
    <w:rsid w:val="00CB6241"/>
    <w:pPr>
      <w:numPr>
        <w:numId w:val="4"/>
      </w:numPr>
      <w:spacing w:before="0" w:after="40" w:line="270" w:lineRule="atLeast"/>
    </w:pPr>
    <w:rPr>
      <w:rFonts w:eastAsia="Times" w:cs="Times New Roman"/>
      <w:sz w:val="20"/>
      <w:lang w:val="en-AU"/>
    </w:rPr>
  </w:style>
  <w:style w:type="paragraph" w:customStyle="1" w:styleId="DHHSbullet2">
    <w:name w:val="DHHS bullet 2"/>
    <w:basedOn w:val="Normal"/>
    <w:uiPriority w:val="2"/>
    <w:qFormat/>
    <w:rsid w:val="00CB6241"/>
    <w:pPr>
      <w:numPr>
        <w:ilvl w:val="2"/>
        <w:numId w:val="4"/>
      </w:numPr>
      <w:spacing w:before="0" w:after="40" w:line="270" w:lineRule="atLeast"/>
    </w:pPr>
    <w:rPr>
      <w:rFonts w:eastAsia="Times" w:cs="Times New Roman"/>
      <w:sz w:val="20"/>
      <w:lang w:val="en-AU"/>
    </w:rPr>
  </w:style>
  <w:style w:type="paragraph" w:customStyle="1" w:styleId="DHHSbullet1lastline">
    <w:name w:val="DHHS bullet 1 last line"/>
    <w:basedOn w:val="DHHSbullet1"/>
    <w:qFormat/>
    <w:rsid w:val="00CB6241"/>
    <w:pPr>
      <w:numPr>
        <w:ilvl w:val="1"/>
      </w:numPr>
      <w:spacing w:after="120"/>
    </w:pPr>
  </w:style>
  <w:style w:type="paragraph" w:customStyle="1" w:styleId="DHHSbullet2lastline">
    <w:name w:val="DHHS bullet 2 last line"/>
    <w:basedOn w:val="DHHSbullet2"/>
    <w:uiPriority w:val="2"/>
    <w:qFormat/>
    <w:rsid w:val="00CB6241"/>
    <w:pPr>
      <w:numPr>
        <w:ilvl w:val="3"/>
      </w:numPr>
      <w:spacing w:after="120"/>
    </w:pPr>
  </w:style>
  <w:style w:type="paragraph" w:customStyle="1" w:styleId="DHHStablebullet">
    <w:name w:val="DHHS table bullet"/>
    <w:basedOn w:val="Normal"/>
    <w:uiPriority w:val="3"/>
    <w:qFormat/>
    <w:rsid w:val="00CB6241"/>
    <w:pPr>
      <w:numPr>
        <w:ilvl w:val="6"/>
        <w:numId w:val="4"/>
      </w:numPr>
      <w:spacing w:before="80" w:after="60" w:line="240" w:lineRule="auto"/>
    </w:pPr>
    <w:rPr>
      <w:rFonts w:eastAsia="Times New Roman" w:cs="Times New Roman"/>
      <w:sz w:val="20"/>
      <w:lang w:val="en-AU"/>
    </w:rPr>
  </w:style>
  <w:style w:type="numbering" w:customStyle="1" w:styleId="ZZBullets">
    <w:name w:val="ZZ Bullets"/>
    <w:rsid w:val="00CB6241"/>
    <w:pPr>
      <w:numPr>
        <w:numId w:val="4"/>
      </w:numPr>
    </w:pPr>
  </w:style>
  <w:style w:type="paragraph" w:customStyle="1" w:styleId="DHHSbulletindent">
    <w:name w:val="DHHS bullet indent"/>
    <w:basedOn w:val="Normal"/>
    <w:uiPriority w:val="4"/>
    <w:rsid w:val="00CB6241"/>
    <w:pPr>
      <w:numPr>
        <w:ilvl w:val="4"/>
        <w:numId w:val="4"/>
      </w:numPr>
      <w:spacing w:before="0" w:after="40" w:line="270" w:lineRule="atLeast"/>
    </w:pPr>
    <w:rPr>
      <w:rFonts w:eastAsia="Times" w:cs="Times New Roman"/>
      <w:sz w:val="20"/>
      <w:lang w:val="en-AU"/>
    </w:rPr>
  </w:style>
  <w:style w:type="paragraph" w:customStyle="1" w:styleId="DHHSbulletindentlastline">
    <w:name w:val="DHHS bullet indent last line"/>
    <w:basedOn w:val="Normal"/>
    <w:uiPriority w:val="4"/>
    <w:rsid w:val="00CB6241"/>
    <w:pPr>
      <w:numPr>
        <w:ilvl w:val="5"/>
        <w:numId w:val="4"/>
      </w:numPr>
      <w:spacing w:before="0" w:line="270" w:lineRule="atLeast"/>
    </w:pPr>
    <w:rPr>
      <w:rFonts w:eastAsia="Times" w:cs="Times New Roman"/>
      <w:sz w:val="20"/>
      <w:lang w:val="en-AU"/>
    </w:rPr>
  </w:style>
  <w:style w:type="character" w:styleId="FootnoteReference">
    <w:name w:val="footnote reference"/>
    <w:aliases w:val="Footnotes refss,Footnote number,Footnote"/>
    <w:basedOn w:val="DefaultParagraphFont"/>
    <w:uiPriority w:val="99"/>
    <w:unhideWhenUsed/>
    <w:rsid w:val="00CB6241"/>
    <w:rPr>
      <w:vertAlign w:val="superscript"/>
    </w:rPr>
  </w:style>
  <w:style w:type="paragraph" w:customStyle="1" w:styleId="Default">
    <w:name w:val="Default"/>
    <w:rsid w:val="00CB6241"/>
    <w:pPr>
      <w:autoSpaceDE w:val="0"/>
      <w:autoSpaceDN w:val="0"/>
      <w:adjustRightInd w:val="0"/>
      <w:spacing w:before="0" w:after="0" w:line="240" w:lineRule="auto"/>
    </w:pPr>
    <w:rPr>
      <w:rFonts w:ascii="Adobe Jenson Pro" w:hAnsi="Adobe Jenson Pro" w:cs="Adobe Jenson Pro"/>
      <w:color w:val="000000"/>
      <w:lang w:val="en-AU" w:eastAsia="zh-TW"/>
    </w:rPr>
  </w:style>
  <w:style w:type="character" w:customStyle="1" w:styleId="apple-converted-space">
    <w:name w:val="apple-converted-space"/>
    <w:basedOn w:val="DefaultParagraphFont"/>
    <w:rsid w:val="00E95A2D"/>
  </w:style>
  <w:style w:type="character" w:styleId="Emphasis">
    <w:name w:val="Emphasis"/>
    <w:basedOn w:val="DefaultParagraphFont"/>
    <w:uiPriority w:val="20"/>
    <w:qFormat/>
    <w:rsid w:val="00E95A2D"/>
    <w:rPr>
      <w:i/>
      <w:iCs/>
    </w:rPr>
  </w:style>
  <w:style w:type="paragraph" w:styleId="NormalWeb">
    <w:name w:val="Normal (Web)"/>
    <w:basedOn w:val="Normal"/>
    <w:uiPriority w:val="99"/>
    <w:unhideWhenUsed/>
    <w:rsid w:val="00E34EE6"/>
    <w:pPr>
      <w:spacing w:before="100" w:beforeAutospacing="1" w:after="100" w:afterAutospacing="1" w:line="240" w:lineRule="auto"/>
    </w:pPr>
    <w:rPr>
      <w:rFonts w:ascii="Times New Roman" w:eastAsia="Times New Roman" w:hAnsi="Times New Roman" w:cs="Times New Roman"/>
      <w:sz w:val="24"/>
      <w:szCs w:val="24"/>
      <w:lang w:val="en-AU" w:eastAsia="zh-TW"/>
    </w:rPr>
  </w:style>
  <w:style w:type="character" w:styleId="CommentReference">
    <w:name w:val="annotation reference"/>
    <w:basedOn w:val="DefaultParagraphFont"/>
    <w:uiPriority w:val="99"/>
    <w:semiHidden/>
    <w:unhideWhenUsed/>
    <w:rsid w:val="002441FD"/>
    <w:rPr>
      <w:sz w:val="16"/>
      <w:szCs w:val="16"/>
    </w:rPr>
  </w:style>
  <w:style w:type="paragraph" w:styleId="CommentText">
    <w:name w:val="annotation text"/>
    <w:basedOn w:val="Normal"/>
    <w:link w:val="CommentTextChar"/>
    <w:uiPriority w:val="99"/>
    <w:semiHidden/>
    <w:unhideWhenUsed/>
    <w:rsid w:val="002441FD"/>
    <w:pPr>
      <w:spacing w:line="240" w:lineRule="auto"/>
    </w:pPr>
    <w:rPr>
      <w:sz w:val="20"/>
    </w:rPr>
  </w:style>
  <w:style w:type="character" w:customStyle="1" w:styleId="CommentTextChar">
    <w:name w:val="Comment Text Char"/>
    <w:basedOn w:val="DefaultParagraphFont"/>
    <w:link w:val="CommentText"/>
    <w:uiPriority w:val="99"/>
    <w:semiHidden/>
    <w:rsid w:val="002441F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441FD"/>
    <w:rPr>
      <w:b/>
      <w:bCs/>
    </w:rPr>
  </w:style>
  <w:style w:type="character" w:customStyle="1" w:styleId="CommentSubjectChar">
    <w:name w:val="Comment Subject Char"/>
    <w:basedOn w:val="CommentTextChar"/>
    <w:link w:val="CommentSubject"/>
    <w:uiPriority w:val="99"/>
    <w:semiHidden/>
    <w:rsid w:val="002441FD"/>
    <w:rPr>
      <w:rFonts w:ascii="Arial" w:hAnsi="Arial" w:cs="Arial"/>
      <w:b/>
      <w:bCs/>
      <w:sz w:val="20"/>
      <w:szCs w:val="20"/>
    </w:rPr>
  </w:style>
  <w:style w:type="paragraph" w:styleId="EndnoteText">
    <w:name w:val="endnote text"/>
    <w:basedOn w:val="Normal"/>
    <w:link w:val="EndnoteTextChar"/>
    <w:uiPriority w:val="99"/>
    <w:unhideWhenUsed/>
    <w:rsid w:val="00DB5B51"/>
    <w:pPr>
      <w:spacing w:before="0" w:after="0" w:line="240" w:lineRule="auto"/>
    </w:pPr>
    <w:rPr>
      <w:rFonts w:asciiTheme="minorHAnsi" w:eastAsiaTheme="minorHAnsi" w:hAnsiTheme="minorHAnsi" w:cstheme="minorBidi"/>
      <w:sz w:val="20"/>
      <w:lang w:val="en-AU"/>
    </w:rPr>
  </w:style>
  <w:style w:type="character" w:customStyle="1" w:styleId="EndnoteTextChar">
    <w:name w:val="Endnote Text Char"/>
    <w:basedOn w:val="DefaultParagraphFont"/>
    <w:link w:val="EndnoteText"/>
    <w:uiPriority w:val="99"/>
    <w:rsid w:val="00DB5B51"/>
    <w:rPr>
      <w:rFonts w:eastAsiaTheme="minorHAnsi"/>
      <w:sz w:val="20"/>
      <w:szCs w:val="20"/>
      <w:lang w:val="en-AU"/>
    </w:rPr>
  </w:style>
  <w:style w:type="character" w:styleId="EndnoteReference">
    <w:name w:val="endnote reference"/>
    <w:basedOn w:val="DefaultParagraphFont"/>
    <w:uiPriority w:val="99"/>
    <w:unhideWhenUsed/>
    <w:rsid w:val="00DB5B51"/>
    <w:rPr>
      <w:vertAlign w:val="superscript"/>
    </w:rPr>
  </w:style>
  <w:style w:type="character" w:styleId="FollowedHyperlink">
    <w:name w:val="FollowedHyperlink"/>
    <w:basedOn w:val="DefaultParagraphFont"/>
    <w:uiPriority w:val="99"/>
    <w:semiHidden/>
    <w:unhideWhenUsed/>
    <w:rsid w:val="00257D40"/>
    <w:rPr>
      <w:color w:val="800080" w:themeColor="followedHyperlink"/>
      <w:u w:val="single"/>
    </w:rPr>
  </w:style>
  <w:style w:type="paragraph" w:customStyle="1" w:styleId="ARpublicationtitle">
    <w:name w:val="AR publication title"/>
    <w:link w:val="ARpublicationtitleChar"/>
    <w:uiPriority w:val="99"/>
    <w:qFormat/>
    <w:rsid w:val="008E76D7"/>
    <w:pPr>
      <w:spacing w:before="3000" w:after="400" w:line="240" w:lineRule="auto"/>
      <w:ind w:left="1701"/>
    </w:pPr>
    <w:rPr>
      <w:rFonts w:ascii="Arial" w:eastAsia="MS Mincho" w:hAnsi="Arial" w:cs="Times New Roman"/>
      <w:bCs/>
      <w:color w:val="87189D"/>
      <w:sz w:val="64"/>
      <w:szCs w:val="64"/>
      <w:lang w:val="en-AU"/>
    </w:rPr>
  </w:style>
  <w:style w:type="character" w:customStyle="1" w:styleId="ARpublicationtitleChar">
    <w:name w:val="AR publication title Char"/>
    <w:link w:val="ARpublicationtitle"/>
    <w:uiPriority w:val="99"/>
    <w:rsid w:val="008E76D7"/>
    <w:rPr>
      <w:rFonts w:ascii="Arial" w:eastAsia="MS Mincho" w:hAnsi="Arial" w:cs="Times New Roman"/>
      <w:bCs/>
      <w:color w:val="87189D"/>
      <w:sz w:val="64"/>
      <w:szCs w:val="64"/>
      <w:lang w:val="en-AU"/>
    </w:rPr>
  </w:style>
  <w:style w:type="paragraph" w:customStyle="1" w:styleId="ARpublicationsubtitle">
    <w:name w:val="AR publication subtitle"/>
    <w:link w:val="ARpublicationsubtitleChar"/>
    <w:uiPriority w:val="99"/>
    <w:qFormat/>
    <w:rsid w:val="008E76D7"/>
    <w:pPr>
      <w:spacing w:before="0" w:after="0" w:line="240" w:lineRule="auto"/>
      <w:ind w:left="1701"/>
    </w:pPr>
    <w:rPr>
      <w:rFonts w:ascii="Arial" w:eastAsia="Times New Roman" w:hAnsi="Arial" w:cs="Times New Roman"/>
      <w:b/>
      <w:bCs/>
      <w:color w:val="666666"/>
      <w:sz w:val="29"/>
      <w:szCs w:val="29"/>
      <w:lang w:val="en-AU"/>
    </w:rPr>
  </w:style>
  <w:style w:type="character" w:customStyle="1" w:styleId="ARpublicationsubtitleChar">
    <w:name w:val="AR publication subtitle Char"/>
    <w:link w:val="ARpublicationsubtitle"/>
    <w:uiPriority w:val="99"/>
    <w:rsid w:val="008E76D7"/>
    <w:rPr>
      <w:rFonts w:ascii="Arial" w:eastAsia="Times New Roman" w:hAnsi="Arial" w:cs="Times New Roman"/>
      <w:b/>
      <w:bCs/>
      <w:color w:val="666666"/>
      <w:sz w:val="29"/>
      <w:szCs w:val="29"/>
      <w:lang w:val="en-AU"/>
    </w:rPr>
  </w:style>
  <w:style w:type="character" w:customStyle="1" w:styleId="A2">
    <w:name w:val="A2"/>
    <w:uiPriority w:val="99"/>
    <w:rsid w:val="0009745C"/>
    <w:rPr>
      <w:rFonts w:cs="BKMUGJ+Univers-Light"/>
      <w:color w:val="000000"/>
      <w:sz w:val="20"/>
      <w:szCs w:val="20"/>
    </w:rPr>
  </w:style>
  <w:style w:type="character" w:styleId="Strong">
    <w:name w:val="Strong"/>
    <w:basedOn w:val="DefaultParagraphFont"/>
    <w:uiPriority w:val="22"/>
    <w:qFormat/>
    <w:rsid w:val="00165691"/>
    <w:rPr>
      <w:b/>
      <w:bCs/>
    </w:rPr>
  </w:style>
  <w:style w:type="character" w:customStyle="1" w:styleId="Heading5Char">
    <w:name w:val="Heading 5 Char"/>
    <w:basedOn w:val="DefaultParagraphFont"/>
    <w:link w:val="Heading5"/>
    <w:uiPriority w:val="9"/>
    <w:semiHidden/>
    <w:rsid w:val="00EF663F"/>
    <w:rPr>
      <w:rFonts w:asciiTheme="majorHAnsi" w:eastAsiaTheme="majorEastAsia" w:hAnsiTheme="majorHAnsi" w:cstheme="majorBidi"/>
      <w:color w:val="365F91" w:themeColor="accent1" w:themeShade="BF"/>
      <w:sz w:val="22"/>
      <w:szCs w:val="20"/>
    </w:rPr>
  </w:style>
  <w:style w:type="paragraph" w:customStyle="1" w:styleId="Box3List">
    <w:name w:val="Box 3 List"/>
    <w:basedOn w:val="Normal"/>
    <w:link w:val="Box3ListChar"/>
    <w:qFormat/>
    <w:rsid w:val="004B1820"/>
    <w:pPr>
      <w:numPr>
        <w:numId w:val="10"/>
      </w:numPr>
      <w:pBdr>
        <w:top w:val="single" w:sz="18" w:space="1" w:color="FDDBA5"/>
        <w:left w:val="single" w:sz="18" w:space="11" w:color="FDDBA5"/>
        <w:bottom w:val="single" w:sz="18" w:space="1" w:color="FDDBA5"/>
        <w:right w:val="single" w:sz="18" w:space="11" w:color="FDDBA5"/>
      </w:pBdr>
      <w:shd w:val="clear" w:color="auto" w:fill="FDDBA5"/>
      <w:spacing w:before="0"/>
      <w:ind w:left="697" w:right="380" w:hanging="357"/>
    </w:pPr>
    <w:rPr>
      <w:rFonts w:eastAsiaTheme="minorHAnsi"/>
      <w:szCs w:val="22"/>
      <w:lang w:val="en-AU" w:eastAsia="en-AU"/>
    </w:rPr>
  </w:style>
  <w:style w:type="character" w:customStyle="1" w:styleId="Box3ListChar">
    <w:name w:val="Box 3 List Char"/>
    <w:basedOn w:val="DefaultParagraphFont"/>
    <w:link w:val="Box3List"/>
    <w:rsid w:val="004B1820"/>
    <w:rPr>
      <w:rFonts w:ascii="Arial" w:eastAsiaTheme="minorHAnsi" w:hAnsi="Arial" w:cs="Arial"/>
      <w:sz w:val="22"/>
      <w:szCs w:val="22"/>
      <w:shd w:val="clear" w:color="auto" w:fill="FDDBA5"/>
      <w:lang w:val="en-AU" w:eastAsia="en-AU"/>
    </w:rPr>
  </w:style>
  <w:style w:type="character" w:customStyle="1" w:styleId="ListParagraphChar">
    <w:name w:val="List Paragraph Char"/>
    <w:basedOn w:val="DefaultParagraphFont"/>
    <w:link w:val="ListParagraph"/>
    <w:uiPriority w:val="34"/>
    <w:rsid w:val="00662F7D"/>
    <w:rPr>
      <w:rFonts w:ascii="Arial" w:hAnsi="Arial" w:cs="Arial"/>
      <w:sz w:val="22"/>
      <w:szCs w:val="20"/>
    </w:rPr>
  </w:style>
  <w:style w:type="paragraph" w:customStyle="1" w:styleId="DHHSbody">
    <w:name w:val="DHHS body"/>
    <w:qFormat/>
    <w:rsid w:val="00F72773"/>
    <w:pPr>
      <w:spacing w:before="0" w:line="270" w:lineRule="atLeast"/>
    </w:pPr>
    <w:rPr>
      <w:rFonts w:ascii="Arial" w:eastAsia="Times" w:hAnsi="Arial" w:cs="Times New Roman"/>
      <w:sz w:val="20"/>
      <w:szCs w:val="20"/>
      <w:lang w:val="en-AU"/>
    </w:rPr>
  </w:style>
  <w:style w:type="paragraph" w:customStyle="1" w:styleId="Body">
    <w:name w:val="Body"/>
    <w:rsid w:val="001F1FDE"/>
    <w:pPr>
      <w:pBdr>
        <w:top w:val="nil"/>
        <w:left w:val="nil"/>
        <w:bottom w:val="nil"/>
        <w:right w:val="nil"/>
        <w:between w:val="nil"/>
        <w:bar w:val="nil"/>
      </w:pBdr>
      <w:spacing w:before="0" w:after="0" w:line="240" w:lineRule="auto"/>
    </w:pPr>
    <w:rPr>
      <w:rFonts w:ascii="Helvetica" w:eastAsia="Arial Unicode MS" w:hAnsi="Helvetica" w:cs="Arial Unicode MS"/>
      <w:color w:val="000000"/>
      <w:sz w:val="22"/>
      <w:szCs w:val="22"/>
      <w:bdr w:val="nil"/>
      <w:lang w:val="de-D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8386">
      <w:bodyDiv w:val="1"/>
      <w:marLeft w:val="0"/>
      <w:marRight w:val="0"/>
      <w:marTop w:val="0"/>
      <w:marBottom w:val="0"/>
      <w:divBdr>
        <w:top w:val="none" w:sz="0" w:space="0" w:color="auto"/>
        <w:left w:val="none" w:sz="0" w:space="0" w:color="auto"/>
        <w:bottom w:val="none" w:sz="0" w:space="0" w:color="auto"/>
        <w:right w:val="none" w:sz="0" w:space="0" w:color="auto"/>
      </w:divBdr>
    </w:div>
    <w:div w:id="55513334">
      <w:bodyDiv w:val="1"/>
      <w:marLeft w:val="0"/>
      <w:marRight w:val="0"/>
      <w:marTop w:val="0"/>
      <w:marBottom w:val="0"/>
      <w:divBdr>
        <w:top w:val="none" w:sz="0" w:space="0" w:color="auto"/>
        <w:left w:val="none" w:sz="0" w:space="0" w:color="auto"/>
        <w:bottom w:val="none" w:sz="0" w:space="0" w:color="auto"/>
        <w:right w:val="none" w:sz="0" w:space="0" w:color="auto"/>
      </w:divBdr>
    </w:div>
    <w:div w:id="73747299">
      <w:bodyDiv w:val="1"/>
      <w:marLeft w:val="0"/>
      <w:marRight w:val="0"/>
      <w:marTop w:val="0"/>
      <w:marBottom w:val="0"/>
      <w:divBdr>
        <w:top w:val="none" w:sz="0" w:space="0" w:color="auto"/>
        <w:left w:val="none" w:sz="0" w:space="0" w:color="auto"/>
        <w:bottom w:val="none" w:sz="0" w:space="0" w:color="auto"/>
        <w:right w:val="none" w:sz="0" w:space="0" w:color="auto"/>
      </w:divBdr>
    </w:div>
    <w:div w:id="79916340">
      <w:bodyDiv w:val="1"/>
      <w:marLeft w:val="0"/>
      <w:marRight w:val="0"/>
      <w:marTop w:val="0"/>
      <w:marBottom w:val="0"/>
      <w:divBdr>
        <w:top w:val="none" w:sz="0" w:space="0" w:color="auto"/>
        <w:left w:val="none" w:sz="0" w:space="0" w:color="auto"/>
        <w:bottom w:val="none" w:sz="0" w:space="0" w:color="auto"/>
        <w:right w:val="none" w:sz="0" w:space="0" w:color="auto"/>
      </w:divBdr>
      <w:divsChild>
        <w:div w:id="2075227731">
          <w:marLeft w:val="1555"/>
          <w:marRight w:val="0"/>
          <w:marTop w:val="96"/>
          <w:marBottom w:val="0"/>
          <w:divBdr>
            <w:top w:val="none" w:sz="0" w:space="0" w:color="auto"/>
            <w:left w:val="none" w:sz="0" w:space="0" w:color="auto"/>
            <w:bottom w:val="none" w:sz="0" w:space="0" w:color="auto"/>
            <w:right w:val="none" w:sz="0" w:space="0" w:color="auto"/>
          </w:divBdr>
        </w:div>
      </w:divsChild>
    </w:div>
    <w:div w:id="118187535">
      <w:bodyDiv w:val="1"/>
      <w:marLeft w:val="0"/>
      <w:marRight w:val="0"/>
      <w:marTop w:val="0"/>
      <w:marBottom w:val="0"/>
      <w:divBdr>
        <w:top w:val="none" w:sz="0" w:space="0" w:color="auto"/>
        <w:left w:val="none" w:sz="0" w:space="0" w:color="auto"/>
        <w:bottom w:val="none" w:sz="0" w:space="0" w:color="auto"/>
        <w:right w:val="none" w:sz="0" w:space="0" w:color="auto"/>
      </w:divBdr>
    </w:div>
    <w:div w:id="159809402">
      <w:bodyDiv w:val="1"/>
      <w:marLeft w:val="0"/>
      <w:marRight w:val="0"/>
      <w:marTop w:val="0"/>
      <w:marBottom w:val="0"/>
      <w:divBdr>
        <w:top w:val="none" w:sz="0" w:space="0" w:color="auto"/>
        <w:left w:val="none" w:sz="0" w:space="0" w:color="auto"/>
        <w:bottom w:val="none" w:sz="0" w:space="0" w:color="auto"/>
        <w:right w:val="none" w:sz="0" w:space="0" w:color="auto"/>
      </w:divBdr>
    </w:div>
    <w:div w:id="161168694">
      <w:bodyDiv w:val="1"/>
      <w:marLeft w:val="0"/>
      <w:marRight w:val="0"/>
      <w:marTop w:val="0"/>
      <w:marBottom w:val="0"/>
      <w:divBdr>
        <w:top w:val="none" w:sz="0" w:space="0" w:color="auto"/>
        <w:left w:val="none" w:sz="0" w:space="0" w:color="auto"/>
        <w:bottom w:val="none" w:sz="0" w:space="0" w:color="auto"/>
        <w:right w:val="none" w:sz="0" w:space="0" w:color="auto"/>
      </w:divBdr>
    </w:div>
    <w:div w:id="169374565">
      <w:bodyDiv w:val="1"/>
      <w:marLeft w:val="0"/>
      <w:marRight w:val="0"/>
      <w:marTop w:val="0"/>
      <w:marBottom w:val="0"/>
      <w:divBdr>
        <w:top w:val="none" w:sz="0" w:space="0" w:color="auto"/>
        <w:left w:val="none" w:sz="0" w:space="0" w:color="auto"/>
        <w:bottom w:val="none" w:sz="0" w:space="0" w:color="auto"/>
        <w:right w:val="none" w:sz="0" w:space="0" w:color="auto"/>
      </w:divBdr>
    </w:div>
    <w:div w:id="198975468">
      <w:bodyDiv w:val="1"/>
      <w:marLeft w:val="0"/>
      <w:marRight w:val="0"/>
      <w:marTop w:val="0"/>
      <w:marBottom w:val="0"/>
      <w:divBdr>
        <w:top w:val="none" w:sz="0" w:space="0" w:color="auto"/>
        <w:left w:val="none" w:sz="0" w:space="0" w:color="auto"/>
        <w:bottom w:val="none" w:sz="0" w:space="0" w:color="auto"/>
        <w:right w:val="none" w:sz="0" w:space="0" w:color="auto"/>
      </w:divBdr>
    </w:div>
    <w:div w:id="203903840">
      <w:bodyDiv w:val="1"/>
      <w:marLeft w:val="0"/>
      <w:marRight w:val="0"/>
      <w:marTop w:val="0"/>
      <w:marBottom w:val="0"/>
      <w:divBdr>
        <w:top w:val="none" w:sz="0" w:space="0" w:color="auto"/>
        <w:left w:val="none" w:sz="0" w:space="0" w:color="auto"/>
        <w:bottom w:val="none" w:sz="0" w:space="0" w:color="auto"/>
        <w:right w:val="none" w:sz="0" w:space="0" w:color="auto"/>
      </w:divBdr>
    </w:div>
    <w:div w:id="241453425">
      <w:bodyDiv w:val="1"/>
      <w:marLeft w:val="0"/>
      <w:marRight w:val="0"/>
      <w:marTop w:val="0"/>
      <w:marBottom w:val="0"/>
      <w:divBdr>
        <w:top w:val="none" w:sz="0" w:space="0" w:color="auto"/>
        <w:left w:val="none" w:sz="0" w:space="0" w:color="auto"/>
        <w:bottom w:val="none" w:sz="0" w:space="0" w:color="auto"/>
        <w:right w:val="none" w:sz="0" w:space="0" w:color="auto"/>
      </w:divBdr>
    </w:div>
    <w:div w:id="254636734">
      <w:bodyDiv w:val="1"/>
      <w:marLeft w:val="0"/>
      <w:marRight w:val="0"/>
      <w:marTop w:val="0"/>
      <w:marBottom w:val="0"/>
      <w:divBdr>
        <w:top w:val="none" w:sz="0" w:space="0" w:color="auto"/>
        <w:left w:val="none" w:sz="0" w:space="0" w:color="auto"/>
        <w:bottom w:val="none" w:sz="0" w:space="0" w:color="auto"/>
        <w:right w:val="none" w:sz="0" w:space="0" w:color="auto"/>
      </w:divBdr>
    </w:div>
    <w:div w:id="256520695">
      <w:bodyDiv w:val="1"/>
      <w:marLeft w:val="0"/>
      <w:marRight w:val="0"/>
      <w:marTop w:val="0"/>
      <w:marBottom w:val="0"/>
      <w:divBdr>
        <w:top w:val="none" w:sz="0" w:space="0" w:color="auto"/>
        <w:left w:val="none" w:sz="0" w:space="0" w:color="auto"/>
        <w:bottom w:val="none" w:sz="0" w:space="0" w:color="auto"/>
        <w:right w:val="none" w:sz="0" w:space="0" w:color="auto"/>
      </w:divBdr>
    </w:div>
    <w:div w:id="306597060">
      <w:bodyDiv w:val="1"/>
      <w:marLeft w:val="0"/>
      <w:marRight w:val="0"/>
      <w:marTop w:val="0"/>
      <w:marBottom w:val="0"/>
      <w:divBdr>
        <w:top w:val="none" w:sz="0" w:space="0" w:color="auto"/>
        <w:left w:val="none" w:sz="0" w:space="0" w:color="auto"/>
        <w:bottom w:val="none" w:sz="0" w:space="0" w:color="auto"/>
        <w:right w:val="none" w:sz="0" w:space="0" w:color="auto"/>
      </w:divBdr>
    </w:div>
    <w:div w:id="328290191">
      <w:bodyDiv w:val="1"/>
      <w:marLeft w:val="0"/>
      <w:marRight w:val="0"/>
      <w:marTop w:val="0"/>
      <w:marBottom w:val="0"/>
      <w:divBdr>
        <w:top w:val="none" w:sz="0" w:space="0" w:color="auto"/>
        <w:left w:val="none" w:sz="0" w:space="0" w:color="auto"/>
        <w:bottom w:val="none" w:sz="0" w:space="0" w:color="auto"/>
        <w:right w:val="none" w:sz="0" w:space="0" w:color="auto"/>
      </w:divBdr>
      <w:divsChild>
        <w:div w:id="1473522872">
          <w:marLeft w:val="1094"/>
          <w:marRight w:val="0"/>
          <w:marTop w:val="96"/>
          <w:marBottom w:val="0"/>
          <w:divBdr>
            <w:top w:val="none" w:sz="0" w:space="0" w:color="auto"/>
            <w:left w:val="none" w:sz="0" w:space="0" w:color="auto"/>
            <w:bottom w:val="none" w:sz="0" w:space="0" w:color="auto"/>
            <w:right w:val="none" w:sz="0" w:space="0" w:color="auto"/>
          </w:divBdr>
        </w:div>
      </w:divsChild>
    </w:div>
    <w:div w:id="350573433">
      <w:bodyDiv w:val="1"/>
      <w:marLeft w:val="0"/>
      <w:marRight w:val="0"/>
      <w:marTop w:val="0"/>
      <w:marBottom w:val="0"/>
      <w:divBdr>
        <w:top w:val="none" w:sz="0" w:space="0" w:color="auto"/>
        <w:left w:val="none" w:sz="0" w:space="0" w:color="auto"/>
        <w:bottom w:val="none" w:sz="0" w:space="0" w:color="auto"/>
        <w:right w:val="none" w:sz="0" w:space="0" w:color="auto"/>
      </w:divBdr>
    </w:div>
    <w:div w:id="365376238">
      <w:bodyDiv w:val="1"/>
      <w:marLeft w:val="0"/>
      <w:marRight w:val="0"/>
      <w:marTop w:val="0"/>
      <w:marBottom w:val="0"/>
      <w:divBdr>
        <w:top w:val="none" w:sz="0" w:space="0" w:color="auto"/>
        <w:left w:val="none" w:sz="0" w:space="0" w:color="auto"/>
        <w:bottom w:val="none" w:sz="0" w:space="0" w:color="auto"/>
        <w:right w:val="none" w:sz="0" w:space="0" w:color="auto"/>
      </w:divBdr>
    </w:div>
    <w:div w:id="366417704">
      <w:bodyDiv w:val="1"/>
      <w:marLeft w:val="0"/>
      <w:marRight w:val="0"/>
      <w:marTop w:val="0"/>
      <w:marBottom w:val="0"/>
      <w:divBdr>
        <w:top w:val="none" w:sz="0" w:space="0" w:color="auto"/>
        <w:left w:val="none" w:sz="0" w:space="0" w:color="auto"/>
        <w:bottom w:val="none" w:sz="0" w:space="0" w:color="auto"/>
        <w:right w:val="none" w:sz="0" w:space="0" w:color="auto"/>
      </w:divBdr>
    </w:div>
    <w:div w:id="416440093">
      <w:bodyDiv w:val="1"/>
      <w:marLeft w:val="0"/>
      <w:marRight w:val="0"/>
      <w:marTop w:val="0"/>
      <w:marBottom w:val="0"/>
      <w:divBdr>
        <w:top w:val="none" w:sz="0" w:space="0" w:color="auto"/>
        <w:left w:val="none" w:sz="0" w:space="0" w:color="auto"/>
        <w:bottom w:val="none" w:sz="0" w:space="0" w:color="auto"/>
        <w:right w:val="none" w:sz="0" w:space="0" w:color="auto"/>
      </w:divBdr>
    </w:div>
    <w:div w:id="426273288">
      <w:bodyDiv w:val="1"/>
      <w:marLeft w:val="0"/>
      <w:marRight w:val="0"/>
      <w:marTop w:val="0"/>
      <w:marBottom w:val="0"/>
      <w:divBdr>
        <w:top w:val="none" w:sz="0" w:space="0" w:color="auto"/>
        <w:left w:val="none" w:sz="0" w:space="0" w:color="auto"/>
        <w:bottom w:val="none" w:sz="0" w:space="0" w:color="auto"/>
        <w:right w:val="none" w:sz="0" w:space="0" w:color="auto"/>
      </w:divBdr>
    </w:div>
    <w:div w:id="444662516">
      <w:bodyDiv w:val="1"/>
      <w:marLeft w:val="0"/>
      <w:marRight w:val="0"/>
      <w:marTop w:val="0"/>
      <w:marBottom w:val="0"/>
      <w:divBdr>
        <w:top w:val="none" w:sz="0" w:space="0" w:color="auto"/>
        <w:left w:val="none" w:sz="0" w:space="0" w:color="auto"/>
        <w:bottom w:val="none" w:sz="0" w:space="0" w:color="auto"/>
        <w:right w:val="none" w:sz="0" w:space="0" w:color="auto"/>
      </w:divBdr>
    </w:div>
    <w:div w:id="447968896">
      <w:bodyDiv w:val="1"/>
      <w:marLeft w:val="0"/>
      <w:marRight w:val="0"/>
      <w:marTop w:val="0"/>
      <w:marBottom w:val="0"/>
      <w:divBdr>
        <w:top w:val="none" w:sz="0" w:space="0" w:color="auto"/>
        <w:left w:val="none" w:sz="0" w:space="0" w:color="auto"/>
        <w:bottom w:val="none" w:sz="0" w:space="0" w:color="auto"/>
        <w:right w:val="none" w:sz="0" w:space="0" w:color="auto"/>
      </w:divBdr>
    </w:div>
    <w:div w:id="459081463">
      <w:bodyDiv w:val="1"/>
      <w:marLeft w:val="0"/>
      <w:marRight w:val="0"/>
      <w:marTop w:val="0"/>
      <w:marBottom w:val="0"/>
      <w:divBdr>
        <w:top w:val="none" w:sz="0" w:space="0" w:color="auto"/>
        <w:left w:val="none" w:sz="0" w:space="0" w:color="auto"/>
        <w:bottom w:val="none" w:sz="0" w:space="0" w:color="auto"/>
        <w:right w:val="none" w:sz="0" w:space="0" w:color="auto"/>
      </w:divBdr>
    </w:div>
    <w:div w:id="466047441">
      <w:bodyDiv w:val="1"/>
      <w:marLeft w:val="0"/>
      <w:marRight w:val="0"/>
      <w:marTop w:val="0"/>
      <w:marBottom w:val="0"/>
      <w:divBdr>
        <w:top w:val="none" w:sz="0" w:space="0" w:color="auto"/>
        <w:left w:val="none" w:sz="0" w:space="0" w:color="auto"/>
        <w:bottom w:val="none" w:sz="0" w:space="0" w:color="auto"/>
        <w:right w:val="none" w:sz="0" w:space="0" w:color="auto"/>
      </w:divBdr>
      <w:divsChild>
        <w:div w:id="1475752624">
          <w:marLeft w:val="1138"/>
          <w:marRight w:val="0"/>
          <w:marTop w:val="77"/>
          <w:marBottom w:val="0"/>
          <w:divBdr>
            <w:top w:val="none" w:sz="0" w:space="0" w:color="auto"/>
            <w:left w:val="none" w:sz="0" w:space="0" w:color="auto"/>
            <w:bottom w:val="none" w:sz="0" w:space="0" w:color="auto"/>
            <w:right w:val="none" w:sz="0" w:space="0" w:color="auto"/>
          </w:divBdr>
        </w:div>
      </w:divsChild>
    </w:div>
    <w:div w:id="479731368">
      <w:bodyDiv w:val="1"/>
      <w:marLeft w:val="0"/>
      <w:marRight w:val="0"/>
      <w:marTop w:val="0"/>
      <w:marBottom w:val="0"/>
      <w:divBdr>
        <w:top w:val="none" w:sz="0" w:space="0" w:color="auto"/>
        <w:left w:val="none" w:sz="0" w:space="0" w:color="auto"/>
        <w:bottom w:val="none" w:sz="0" w:space="0" w:color="auto"/>
        <w:right w:val="none" w:sz="0" w:space="0" w:color="auto"/>
      </w:divBdr>
    </w:div>
    <w:div w:id="483473101">
      <w:bodyDiv w:val="1"/>
      <w:marLeft w:val="0"/>
      <w:marRight w:val="0"/>
      <w:marTop w:val="0"/>
      <w:marBottom w:val="0"/>
      <w:divBdr>
        <w:top w:val="none" w:sz="0" w:space="0" w:color="auto"/>
        <w:left w:val="none" w:sz="0" w:space="0" w:color="auto"/>
        <w:bottom w:val="none" w:sz="0" w:space="0" w:color="auto"/>
        <w:right w:val="none" w:sz="0" w:space="0" w:color="auto"/>
      </w:divBdr>
      <w:divsChild>
        <w:div w:id="1044332476">
          <w:marLeft w:val="0"/>
          <w:marRight w:val="0"/>
          <w:marTop w:val="0"/>
          <w:marBottom w:val="120"/>
          <w:divBdr>
            <w:top w:val="none" w:sz="0" w:space="0" w:color="auto"/>
            <w:left w:val="none" w:sz="0" w:space="0" w:color="auto"/>
            <w:bottom w:val="none" w:sz="0" w:space="0" w:color="auto"/>
            <w:right w:val="none" w:sz="0" w:space="0" w:color="auto"/>
          </w:divBdr>
        </w:div>
      </w:divsChild>
    </w:div>
    <w:div w:id="503009350">
      <w:bodyDiv w:val="1"/>
      <w:marLeft w:val="0"/>
      <w:marRight w:val="0"/>
      <w:marTop w:val="0"/>
      <w:marBottom w:val="0"/>
      <w:divBdr>
        <w:top w:val="none" w:sz="0" w:space="0" w:color="auto"/>
        <w:left w:val="none" w:sz="0" w:space="0" w:color="auto"/>
        <w:bottom w:val="none" w:sz="0" w:space="0" w:color="auto"/>
        <w:right w:val="none" w:sz="0" w:space="0" w:color="auto"/>
      </w:divBdr>
    </w:div>
    <w:div w:id="526218928">
      <w:bodyDiv w:val="1"/>
      <w:marLeft w:val="0"/>
      <w:marRight w:val="0"/>
      <w:marTop w:val="0"/>
      <w:marBottom w:val="0"/>
      <w:divBdr>
        <w:top w:val="none" w:sz="0" w:space="0" w:color="auto"/>
        <w:left w:val="none" w:sz="0" w:space="0" w:color="auto"/>
        <w:bottom w:val="none" w:sz="0" w:space="0" w:color="auto"/>
        <w:right w:val="none" w:sz="0" w:space="0" w:color="auto"/>
      </w:divBdr>
    </w:div>
    <w:div w:id="542137625">
      <w:bodyDiv w:val="1"/>
      <w:marLeft w:val="0"/>
      <w:marRight w:val="0"/>
      <w:marTop w:val="0"/>
      <w:marBottom w:val="0"/>
      <w:divBdr>
        <w:top w:val="none" w:sz="0" w:space="0" w:color="auto"/>
        <w:left w:val="none" w:sz="0" w:space="0" w:color="auto"/>
        <w:bottom w:val="none" w:sz="0" w:space="0" w:color="auto"/>
        <w:right w:val="none" w:sz="0" w:space="0" w:color="auto"/>
      </w:divBdr>
    </w:div>
    <w:div w:id="554505954">
      <w:bodyDiv w:val="1"/>
      <w:marLeft w:val="0"/>
      <w:marRight w:val="0"/>
      <w:marTop w:val="0"/>
      <w:marBottom w:val="0"/>
      <w:divBdr>
        <w:top w:val="none" w:sz="0" w:space="0" w:color="auto"/>
        <w:left w:val="none" w:sz="0" w:space="0" w:color="auto"/>
        <w:bottom w:val="none" w:sz="0" w:space="0" w:color="auto"/>
        <w:right w:val="none" w:sz="0" w:space="0" w:color="auto"/>
      </w:divBdr>
    </w:div>
    <w:div w:id="572592983">
      <w:bodyDiv w:val="1"/>
      <w:marLeft w:val="0"/>
      <w:marRight w:val="0"/>
      <w:marTop w:val="0"/>
      <w:marBottom w:val="0"/>
      <w:divBdr>
        <w:top w:val="none" w:sz="0" w:space="0" w:color="auto"/>
        <w:left w:val="none" w:sz="0" w:space="0" w:color="auto"/>
        <w:bottom w:val="none" w:sz="0" w:space="0" w:color="auto"/>
        <w:right w:val="none" w:sz="0" w:space="0" w:color="auto"/>
      </w:divBdr>
    </w:div>
    <w:div w:id="603614787">
      <w:bodyDiv w:val="1"/>
      <w:marLeft w:val="0"/>
      <w:marRight w:val="0"/>
      <w:marTop w:val="0"/>
      <w:marBottom w:val="0"/>
      <w:divBdr>
        <w:top w:val="none" w:sz="0" w:space="0" w:color="auto"/>
        <w:left w:val="none" w:sz="0" w:space="0" w:color="auto"/>
        <w:bottom w:val="none" w:sz="0" w:space="0" w:color="auto"/>
        <w:right w:val="none" w:sz="0" w:space="0" w:color="auto"/>
      </w:divBdr>
    </w:div>
    <w:div w:id="634601244">
      <w:bodyDiv w:val="1"/>
      <w:marLeft w:val="0"/>
      <w:marRight w:val="0"/>
      <w:marTop w:val="0"/>
      <w:marBottom w:val="0"/>
      <w:divBdr>
        <w:top w:val="none" w:sz="0" w:space="0" w:color="auto"/>
        <w:left w:val="none" w:sz="0" w:space="0" w:color="auto"/>
        <w:bottom w:val="none" w:sz="0" w:space="0" w:color="auto"/>
        <w:right w:val="none" w:sz="0" w:space="0" w:color="auto"/>
      </w:divBdr>
    </w:div>
    <w:div w:id="637807188">
      <w:bodyDiv w:val="1"/>
      <w:marLeft w:val="0"/>
      <w:marRight w:val="0"/>
      <w:marTop w:val="0"/>
      <w:marBottom w:val="0"/>
      <w:divBdr>
        <w:top w:val="none" w:sz="0" w:space="0" w:color="auto"/>
        <w:left w:val="none" w:sz="0" w:space="0" w:color="auto"/>
        <w:bottom w:val="none" w:sz="0" w:space="0" w:color="auto"/>
        <w:right w:val="none" w:sz="0" w:space="0" w:color="auto"/>
      </w:divBdr>
    </w:div>
    <w:div w:id="674501716">
      <w:bodyDiv w:val="1"/>
      <w:marLeft w:val="0"/>
      <w:marRight w:val="0"/>
      <w:marTop w:val="0"/>
      <w:marBottom w:val="0"/>
      <w:divBdr>
        <w:top w:val="none" w:sz="0" w:space="0" w:color="auto"/>
        <w:left w:val="none" w:sz="0" w:space="0" w:color="auto"/>
        <w:bottom w:val="none" w:sz="0" w:space="0" w:color="auto"/>
        <w:right w:val="none" w:sz="0" w:space="0" w:color="auto"/>
      </w:divBdr>
    </w:div>
    <w:div w:id="691303850">
      <w:bodyDiv w:val="1"/>
      <w:marLeft w:val="0"/>
      <w:marRight w:val="0"/>
      <w:marTop w:val="0"/>
      <w:marBottom w:val="0"/>
      <w:divBdr>
        <w:top w:val="none" w:sz="0" w:space="0" w:color="auto"/>
        <w:left w:val="none" w:sz="0" w:space="0" w:color="auto"/>
        <w:bottom w:val="none" w:sz="0" w:space="0" w:color="auto"/>
        <w:right w:val="none" w:sz="0" w:space="0" w:color="auto"/>
      </w:divBdr>
    </w:div>
    <w:div w:id="697925603">
      <w:bodyDiv w:val="1"/>
      <w:marLeft w:val="0"/>
      <w:marRight w:val="0"/>
      <w:marTop w:val="0"/>
      <w:marBottom w:val="0"/>
      <w:divBdr>
        <w:top w:val="none" w:sz="0" w:space="0" w:color="auto"/>
        <w:left w:val="none" w:sz="0" w:space="0" w:color="auto"/>
        <w:bottom w:val="none" w:sz="0" w:space="0" w:color="auto"/>
        <w:right w:val="none" w:sz="0" w:space="0" w:color="auto"/>
      </w:divBdr>
    </w:div>
    <w:div w:id="756488669">
      <w:bodyDiv w:val="1"/>
      <w:marLeft w:val="0"/>
      <w:marRight w:val="0"/>
      <w:marTop w:val="0"/>
      <w:marBottom w:val="0"/>
      <w:divBdr>
        <w:top w:val="none" w:sz="0" w:space="0" w:color="auto"/>
        <w:left w:val="none" w:sz="0" w:space="0" w:color="auto"/>
        <w:bottom w:val="none" w:sz="0" w:space="0" w:color="auto"/>
        <w:right w:val="none" w:sz="0" w:space="0" w:color="auto"/>
      </w:divBdr>
    </w:div>
    <w:div w:id="762262464">
      <w:bodyDiv w:val="1"/>
      <w:marLeft w:val="0"/>
      <w:marRight w:val="0"/>
      <w:marTop w:val="0"/>
      <w:marBottom w:val="0"/>
      <w:divBdr>
        <w:top w:val="none" w:sz="0" w:space="0" w:color="auto"/>
        <w:left w:val="none" w:sz="0" w:space="0" w:color="auto"/>
        <w:bottom w:val="none" w:sz="0" w:space="0" w:color="auto"/>
        <w:right w:val="none" w:sz="0" w:space="0" w:color="auto"/>
      </w:divBdr>
    </w:div>
    <w:div w:id="769662125">
      <w:bodyDiv w:val="1"/>
      <w:marLeft w:val="0"/>
      <w:marRight w:val="0"/>
      <w:marTop w:val="0"/>
      <w:marBottom w:val="0"/>
      <w:divBdr>
        <w:top w:val="none" w:sz="0" w:space="0" w:color="auto"/>
        <w:left w:val="none" w:sz="0" w:space="0" w:color="auto"/>
        <w:bottom w:val="none" w:sz="0" w:space="0" w:color="auto"/>
        <w:right w:val="none" w:sz="0" w:space="0" w:color="auto"/>
      </w:divBdr>
    </w:div>
    <w:div w:id="770783752">
      <w:bodyDiv w:val="1"/>
      <w:marLeft w:val="0"/>
      <w:marRight w:val="0"/>
      <w:marTop w:val="0"/>
      <w:marBottom w:val="0"/>
      <w:divBdr>
        <w:top w:val="none" w:sz="0" w:space="0" w:color="auto"/>
        <w:left w:val="none" w:sz="0" w:space="0" w:color="auto"/>
        <w:bottom w:val="none" w:sz="0" w:space="0" w:color="auto"/>
        <w:right w:val="none" w:sz="0" w:space="0" w:color="auto"/>
      </w:divBdr>
    </w:div>
    <w:div w:id="794763029">
      <w:bodyDiv w:val="1"/>
      <w:marLeft w:val="0"/>
      <w:marRight w:val="0"/>
      <w:marTop w:val="0"/>
      <w:marBottom w:val="0"/>
      <w:divBdr>
        <w:top w:val="none" w:sz="0" w:space="0" w:color="auto"/>
        <w:left w:val="none" w:sz="0" w:space="0" w:color="auto"/>
        <w:bottom w:val="none" w:sz="0" w:space="0" w:color="auto"/>
        <w:right w:val="none" w:sz="0" w:space="0" w:color="auto"/>
      </w:divBdr>
    </w:div>
    <w:div w:id="808742361">
      <w:bodyDiv w:val="1"/>
      <w:marLeft w:val="0"/>
      <w:marRight w:val="0"/>
      <w:marTop w:val="0"/>
      <w:marBottom w:val="0"/>
      <w:divBdr>
        <w:top w:val="none" w:sz="0" w:space="0" w:color="auto"/>
        <w:left w:val="none" w:sz="0" w:space="0" w:color="auto"/>
        <w:bottom w:val="none" w:sz="0" w:space="0" w:color="auto"/>
        <w:right w:val="none" w:sz="0" w:space="0" w:color="auto"/>
      </w:divBdr>
      <w:divsChild>
        <w:div w:id="1836647569">
          <w:marLeft w:val="907"/>
          <w:marRight w:val="0"/>
          <w:marTop w:val="86"/>
          <w:marBottom w:val="0"/>
          <w:divBdr>
            <w:top w:val="none" w:sz="0" w:space="0" w:color="auto"/>
            <w:left w:val="none" w:sz="0" w:space="0" w:color="auto"/>
            <w:bottom w:val="none" w:sz="0" w:space="0" w:color="auto"/>
            <w:right w:val="none" w:sz="0" w:space="0" w:color="auto"/>
          </w:divBdr>
        </w:div>
      </w:divsChild>
    </w:div>
    <w:div w:id="830829744">
      <w:bodyDiv w:val="1"/>
      <w:marLeft w:val="0"/>
      <w:marRight w:val="0"/>
      <w:marTop w:val="0"/>
      <w:marBottom w:val="0"/>
      <w:divBdr>
        <w:top w:val="none" w:sz="0" w:space="0" w:color="auto"/>
        <w:left w:val="none" w:sz="0" w:space="0" w:color="auto"/>
        <w:bottom w:val="none" w:sz="0" w:space="0" w:color="auto"/>
        <w:right w:val="none" w:sz="0" w:space="0" w:color="auto"/>
      </w:divBdr>
    </w:div>
    <w:div w:id="845368346">
      <w:bodyDiv w:val="1"/>
      <w:marLeft w:val="0"/>
      <w:marRight w:val="0"/>
      <w:marTop w:val="0"/>
      <w:marBottom w:val="0"/>
      <w:divBdr>
        <w:top w:val="none" w:sz="0" w:space="0" w:color="auto"/>
        <w:left w:val="none" w:sz="0" w:space="0" w:color="auto"/>
        <w:bottom w:val="none" w:sz="0" w:space="0" w:color="auto"/>
        <w:right w:val="none" w:sz="0" w:space="0" w:color="auto"/>
      </w:divBdr>
    </w:div>
    <w:div w:id="851184007">
      <w:bodyDiv w:val="1"/>
      <w:marLeft w:val="0"/>
      <w:marRight w:val="0"/>
      <w:marTop w:val="0"/>
      <w:marBottom w:val="0"/>
      <w:divBdr>
        <w:top w:val="none" w:sz="0" w:space="0" w:color="auto"/>
        <w:left w:val="none" w:sz="0" w:space="0" w:color="auto"/>
        <w:bottom w:val="none" w:sz="0" w:space="0" w:color="auto"/>
        <w:right w:val="none" w:sz="0" w:space="0" w:color="auto"/>
      </w:divBdr>
    </w:div>
    <w:div w:id="862942315">
      <w:bodyDiv w:val="1"/>
      <w:marLeft w:val="0"/>
      <w:marRight w:val="0"/>
      <w:marTop w:val="0"/>
      <w:marBottom w:val="0"/>
      <w:divBdr>
        <w:top w:val="none" w:sz="0" w:space="0" w:color="auto"/>
        <w:left w:val="none" w:sz="0" w:space="0" w:color="auto"/>
        <w:bottom w:val="none" w:sz="0" w:space="0" w:color="auto"/>
        <w:right w:val="none" w:sz="0" w:space="0" w:color="auto"/>
      </w:divBdr>
    </w:div>
    <w:div w:id="879171240">
      <w:bodyDiv w:val="1"/>
      <w:marLeft w:val="0"/>
      <w:marRight w:val="0"/>
      <w:marTop w:val="0"/>
      <w:marBottom w:val="0"/>
      <w:divBdr>
        <w:top w:val="none" w:sz="0" w:space="0" w:color="auto"/>
        <w:left w:val="none" w:sz="0" w:space="0" w:color="auto"/>
        <w:bottom w:val="none" w:sz="0" w:space="0" w:color="auto"/>
        <w:right w:val="none" w:sz="0" w:space="0" w:color="auto"/>
      </w:divBdr>
    </w:div>
    <w:div w:id="882062702">
      <w:bodyDiv w:val="1"/>
      <w:marLeft w:val="0"/>
      <w:marRight w:val="0"/>
      <w:marTop w:val="0"/>
      <w:marBottom w:val="0"/>
      <w:divBdr>
        <w:top w:val="none" w:sz="0" w:space="0" w:color="auto"/>
        <w:left w:val="none" w:sz="0" w:space="0" w:color="auto"/>
        <w:bottom w:val="none" w:sz="0" w:space="0" w:color="auto"/>
        <w:right w:val="none" w:sz="0" w:space="0" w:color="auto"/>
      </w:divBdr>
    </w:div>
    <w:div w:id="893350604">
      <w:bodyDiv w:val="1"/>
      <w:marLeft w:val="0"/>
      <w:marRight w:val="0"/>
      <w:marTop w:val="0"/>
      <w:marBottom w:val="0"/>
      <w:divBdr>
        <w:top w:val="none" w:sz="0" w:space="0" w:color="auto"/>
        <w:left w:val="none" w:sz="0" w:space="0" w:color="auto"/>
        <w:bottom w:val="none" w:sz="0" w:space="0" w:color="auto"/>
        <w:right w:val="none" w:sz="0" w:space="0" w:color="auto"/>
      </w:divBdr>
    </w:div>
    <w:div w:id="968053426">
      <w:bodyDiv w:val="1"/>
      <w:marLeft w:val="0"/>
      <w:marRight w:val="0"/>
      <w:marTop w:val="0"/>
      <w:marBottom w:val="0"/>
      <w:divBdr>
        <w:top w:val="none" w:sz="0" w:space="0" w:color="auto"/>
        <w:left w:val="none" w:sz="0" w:space="0" w:color="auto"/>
        <w:bottom w:val="none" w:sz="0" w:space="0" w:color="auto"/>
        <w:right w:val="none" w:sz="0" w:space="0" w:color="auto"/>
      </w:divBdr>
    </w:div>
    <w:div w:id="999768747">
      <w:bodyDiv w:val="1"/>
      <w:marLeft w:val="0"/>
      <w:marRight w:val="0"/>
      <w:marTop w:val="0"/>
      <w:marBottom w:val="0"/>
      <w:divBdr>
        <w:top w:val="none" w:sz="0" w:space="0" w:color="auto"/>
        <w:left w:val="none" w:sz="0" w:space="0" w:color="auto"/>
        <w:bottom w:val="none" w:sz="0" w:space="0" w:color="auto"/>
        <w:right w:val="none" w:sz="0" w:space="0" w:color="auto"/>
      </w:divBdr>
    </w:div>
    <w:div w:id="1003894076">
      <w:bodyDiv w:val="1"/>
      <w:marLeft w:val="0"/>
      <w:marRight w:val="0"/>
      <w:marTop w:val="0"/>
      <w:marBottom w:val="0"/>
      <w:divBdr>
        <w:top w:val="none" w:sz="0" w:space="0" w:color="auto"/>
        <w:left w:val="none" w:sz="0" w:space="0" w:color="auto"/>
        <w:bottom w:val="none" w:sz="0" w:space="0" w:color="auto"/>
        <w:right w:val="none" w:sz="0" w:space="0" w:color="auto"/>
      </w:divBdr>
      <w:divsChild>
        <w:div w:id="175391700">
          <w:marLeft w:val="1094"/>
          <w:marRight w:val="0"/>
          <w:marTop w:val="96"/>
          <w:marBottom w:val="0"/>
          <w:divBdr>
            <w:top w:val="none" w:sz="0" w:space="0" w:color="auto"/>
            <w:left w:val="none" w:sz="0" w:space="0" w:color="auto"/>
            <w:bottom w:val="none" w:sz="0" w:space="0" w:color="auto"/>
            <w:right w:val="none" w:sz="0" w:space="0" w:color="auto"/>
          </w:divBdr>
        </w:div>
      </w:divsChild>
    </w:div>
    <w:div w:id="1018627126">
      <w:bodyDiv w:val="1"/>
      <w:marLeft w:val="0"/>
      <w:marRight w:val="0"/>
      <w:marTop w:val="0"/>
      <w:marBottom w:val="0"/>
      <w:divBdr>
        <w:top w:val="none" w:sz="0" w:space="0" w:color="auto"/>
        <w:left w:val="none" w:sz="0" w:space="0" w:color="auto"/>
        <w:bottom w:val="none" w:sz="0" w:space="0" w:color="auto"/>
        <w:right w:val="none" w:sz="0" w:space="0" w:color="auto"/>
      </w:divBdr>
    </w:div>
    <w:div w:id="1022899657">
      <w:bodyDiv w:val="1"/>
      <w:marLeft w:val="0"/>
      <w:marRight w:val="0"/>
      <w:marTop w:val="0"/>
      <w:marBottom w:val="0"/>
      <w:divBdr>
        <w:top w:val="none" w:sz="0" w:space="0" w:color="auto"/>
        <w:left w:val="none" w:sz="0" w:space="0" w:color="auto"/>
        <w:bottom w:val="none" w:sz="0" w:space="0" w:color="auto"/>
        <w:right w:val="none" w:sz="0" w:space="0" w:color="auto"/>
      </w:divBdr>
    </w:div>
    <w:div w:id="1106998889">
      <w:bodyDiv w:val="1"/>
      <w:marLeft w:val="0"/>
      <w:marRight w:val="0"/>
      <w:marTop w:val="0"/>
      <w:marBottom w:val="0"/>
      <w:divBdr>
        <w:top w:val="none" w:sz="0" w:space="0" w:color="auto"/>
        <w:left w:val="none" w:sz="0" w:space="0" w:color="auto"/>
        <w:bottom w:val="none" w:sz="0" w:space="0" w:color="auto"/>
        <w:right w:val="none" w:sz="0" w:space="0" w:color="auto"/>
      </w:divBdr>
    </w:div>
    <w:div w:id="1172646902">
      <w:bodyDiv w:val="1"/>
      <w:marLeft w:val="0"/>
      <w:marRight w:val="0"/>
      <w:marTop w:val="0"/>
      <w:marBottom w:val="0"/>
      <w:divBdr>
        <w:top w:val="none" w:sz="0" w:space="0" w:color="auto"/>
        <w:left w:val="none" w:sz="0" w:space="0" w:color="auto"/>
        <w:bottom w:val="none" w:sz="0" w:space="0" w:color="auto"/>
        <w:right w:val="none" w:sz="0" w:space="0" w:color="auto"/>
      </w:divBdr>
    </w:div>
    <w:div w:id="1212155422">
      <w:bodyDiv w:val="1"/>
      <w:marLeft w:val="0"/>
      <w:marRight w:val="0"/>
      <w:marTop w:val="0"/>
      <w:marBottom w:val="0"/>
      <w:divBdr>
        <w:top w:val="none" w:sz="0" w:space="0" w:color="auto"/>
        <w:left w:val="none" w:sz="0" w:space="0" w:color="auto"/>
        <w:bottom w:val="none" w:sz="0" w:space="0" w:color="auto"/>
        <w:right w:val="none" w:sz="0" w:space="0" w:color="auto"/>
      </w:divBdr>
    </w:div>
    <w:div w:id="1262420767">
      <w:bodyDiv w:val="1"/>
      <w:marLeft w:val="0"/>
      <w:marRight w:val="0"/>
      <w:marTop w:val="0"/>
      <w:marBottom w:val="0"/>
      <w:divBdr>
        <w:top w:val="none" w:sz="0" w:space="0" w:color="auto"/>
        <w:left w:val="none" w:sz="0" w:space="0" w:color="auto"/>
        <w:bottom w:val="none" w:sz="0" w:space="0" w:color="auto"/>
        <w:right w:val="none" w:sz="0" w:space="0" w:color="auto"/>
      </w:divBdr>
    </w:div>
    <w:div w:id="1268347119">
      <w:bodyDiv w:val="1"/>
      <w:marLeft w:val="0"/>
      <w:marRight w:val="0"/>
      <w:marTop w:val="0"/>
      <w:marBottom w:val="0"/>
      <w:divBdr>
        <w:top w:val="none" w:sz="0" w:space="0" w:color="auto"/>
        <w:left w:val="none" w:sz="0" w:space="0" w:color="auto"/>
        <w:bottom w:val="none" w:sz="0" w:space="0" w:color="auto"/>
        <w:right w:val="none" w:sz="0" w:space="0" w:color="auto"/>
      </w:divBdr>
      <w:divsChild>
        <w:div w:id="1988625094">
          <w:marLeft w:val="907"/>
          <w:marRight w:val="0"/>
          <w:marTop w:val="86"/>
          <w:marBottom w:val="0"/>
          <w:divBdr>
            <w:top w:val="none" w:sz="0" w:space="0" w:color="auto"/>
            <w:left w:val="none" w:sz="0" w:space="0" w:color="auto"/>
            <w:bottom w:val="none" w:sz="0" w:space="0" w:color="auto"/>
            <w:right w:val="none" w:sz="0" w:space="0" w:color="auto"/>
          </w:divBdr>
        </w:div>
        <w:div w:id="444352899">
          <w:marLeft w:val="907"/>
          <w:marRight w:val="0"/>
          <w:marTop w:val="86"/>
          <w:marBottom w:val="0"/>
          <w:divBdr>
            <w:top w:val="none" w:sz="0" w:space="0" w:color="auto"/>
            <w:left w:val="none" w:sz="0" w:space="0" w:color="auto"/>
            <w:bottom w:val="none" w:sz="0" w:space="0" w:color="auto"/>
            <w:right w:val="none" w:sz="0" w:space="0" w:color="auto"/>
          </w:divBdr>
        </w:div>
        <w:div w:id="587235175">
          <w:marLeft w:val="907"/>
          <w:marRight w:val="0"/>
          <w:marTop w:val="86"/>
          <w:marBottom w:val="0"/>
          <w:divBdr>
            <w:top w:val="none" w:sz="0" w:space="0" w:color="auto"/>
            <w:left w:val="none" w:sz="0" w:space="0" w:color="auto"/>
            <w:bottom w:val="none" w:sz="0" w:space="0" w:color="auto"/>
            <w:right w:val="none" w:sz="0" w:space="0" w:color="auto"/>
          </w:divBdr>
        </w:div>
      </w:divsChild>
    </w:div>
    <w:div w:id="1364475022">
      <w:bodyDiv w:val="1"/>
      <w:marLeft w:val="0"/>
      <w:marRight w:val="0"/>
      <w:marTop w:val="0"/>
      <w:marBottom w:val="0"/>
      <w:divBdr>
        <w:top w:val="none" w:sz="0" w:space="0" w:color="auto"/>
        <w:left w:val="none" w:sz="0" w:space="0" w:color="auto"/>
        <w:bottom w:val="none" w:sz="0" w:space="0" w:color="auto"/>
        <w:right w:val="none" w:sz="0" w:space="0" w:color="auto"/>
      </w:divBdr>
      <w:divsChild>
        <w:div w:id="174660858">
          <w:marLeft w:val="432"/>
          <w:marRight w:val="0"/>
          <w:marTop w:val="96"/>
          <w:marBottom w:val="0"/>
          <w:divBdr>
            <w:top w:val="none" w:sz="0" w:space="0" w:color="auto"/>
            <w:left w:val="none" w:sz="0" w:space="0" w:color="auto"/>
            <w:bottom w:val="none" w:sz="0" w:space="0" w:color="auto"/>
            <w:right w:val="none" w:sz="0" w:space="0" w:color="auto"/>
          </w:divBdr>
        </w:div>
        <w:div w:id="282774">
          <w:marLeft w:val="907"/>
          <w:marRight w:val="0"/>
          <w:marTop w:val="86"/>
          <w:marBottom w:val="0"/>
          <w:divBdr>
            <w:top w:val="none" w:sz="0" w:space="0" w:color="auto"/>
            <w:left w:val="none" w:sz="0" w:space="0" w:color="auto"/>
            <w:bottom w:val="none" w:sz="0" w:space="0" w:color="auto"/>
            <w:right w:val="none" w:sz="0" w:space="0" w:color="auto"/>
          </w:divBdr>
        </w:div>
        <w:div w:id="1607733347">
          <w:marLeft w:val="432"/>
          <w:marRight w:val="0"/>
          <w:marTop w:val="96"/>
          <w:marBottom w:val="0"/>
          <w:divBdr>
            <w:top w:val="none" w:sz="0" w:space="0" w:color="auto"/>
            <w:left w:val="none" w:sz="0" w:space="0" w:color="auto"/>
            <w:bottom w:val="none" w:sz="0" w:space="0" w:color="auto"/>
            <w:right w:val="none" w:sz="0" w:space="0" w:color="auto"/>
          </w:divBdr>
        </w:div>
        <w:div w:id="1488279235">
          <w:marLeft w:val="907"/>
          <w:marRight w:val="0"/>
          <w:marTop w:val="86"/>
          <w:marBottom w:val="0"/>
          <w:divBdr>
            <w:top w:val="none" w:sz="0" w:space="0" w:color="auto"/>
            <w:left w:val="none" w:sz="0" w:space="0" w:color="auto"/>
            <w:bottom w:val="none" w:sz="0" w:space="0" w:color="auto"/>
            <w:right w:val="none" w:sz="0" w:space="0" w:color="auto"/>
          </w:divBdr>
        </w:div>
        <w:div w:id="2110540047">
          <w:marLeft w:val="907"/>
          <w:marRight w:val="0"/>
          <w:marTop w:val="86"/>
          <w:marBottom w:val="0"/>
          <w:divBdr>
            <w:top w:val="none" w:sz="0" w:space="0" w:color="auto"/>
            <w:left w:val="none" w:sz="0" w:space="0" w:color="auto"/>
            <w:bottom w:val="none" w:sz="0" w:space="0" w:color="auto"/>
            <w:right w:val="none" w:sz="0" w:space="0" w:color="auto"/>
          </w:divBdr>
        </w:div>
      </w:divsChild>
    </w:div>
    <w:div w:id="1386490107">
      <w:bodyDiv w:val="1"/>
      <w:marLeft w:val="0"/>
      <w:marRight w:val="0"/>
      <w:marTop w:val="0"/>
      <w:marBottom w:val="0"/>
      <w:divBdr>
        <w:top w:val="none" w:sz="0" w:space="0" w:color="auto"/>
        <w:left w:val="none" w:sz="0" w:space="0" w:color="auto"/>
        <w:bottom w:val="none" w:sz="0" w:space="0" w:color="auto"/>
        <w:right w:val="none" w:sz="0" w:space="0" w:color="auto"/>
      </w:divBdr>
    </w:div>
    <w:div w:id="1414203694">
      <w:bodyDiv w:val="1"/>
      <w:marLeft w:val="0"/>
      <w:marRight w:val="0"/>
      <w:marTop w:val="0"/>
      <w:marBottom w:val="0"/>
      <w:divBdr>
        <w:top w:val="none" w:sz="0" w:space="0" w:color="auto"/>
        <w:left w:val="none" w:sz="0" w:space="0" w:color="auto"/>
        <w:bottom w:val="none" w:sz="0" w:space="0" w:color="auto"/>
        <w:right w:val="none" w:sz="0" w:space="0" w:color="auto"/>
      </w:divBdr>
    </w:div>
    <w:div w:id="1415274205">
      <w:bodyDiv w:val="1"/>
      <w:marLeft w:val="0"/>
      <w:marRight w:val="0"/>
      <w:marTop w:val="0"/>
      <w:marBottom w:val="0"/>
      <w:divBdr>
        <w:top w:val="none" w:sz="0" w:space="0" w:color="auto"/>
        <w:left w:val="none" w:sz="0" w:space="0" w:color="auto"/>
        <w:bottom w:val="none" w:sz="0" w:space="0" w:color="auto"/>
        <w:right w:val="none" w:sz="0" w:space="0" w:color="auto"/>
      </w:divBdr>
    </w:div>
    <w:div w:id="1426725921">
      <w:bodyDiv w:val="1"/>
      <w:marLeft w:val="0"/>
      <w:marRight w:val="0"/>
      <w:marTop w:val="0"/>
      <w:marBottom w:val="0"/>
      <w:divBdr>
        <w:top w:val="none" w:sz="0" w:space="0" w:color="auto"/>
        <w:left w:val="none" w:sz="0" w:space="0" w:color="auto"/>
        <w:bottom w:val="none" w:sz="0" w:space="0" w:color="auto"/>
        <w:right w:val="none" w:sz="0" w:space="0" w:color="auto"/>
      </w:divBdr>
    </w:div>
    <w:div w:id="1476986961">
      <w:bodyDiv w:val="1"/>
      <w:marLeft w:val="0"/>
      <w:marRight w:val="0"/>
      <w:marTop w:val="0"/>
      <w:marBottom w:val="0"/>
      <w:divBdr>
        <w:top w:val="none" w:sz="0" w:space="0" w:color="auto"/>
        <w:left w:val="none" w:sz="0" w:space="0" w:color="auto"/>
        <w:bottom w:val="none" w:sz="0" w:space="0" w:color="auto"/>
        <w:right w:val="none" w:sz="0" w:space="0" w:color="auto"/>
      </w:divBdr>
    </w:div>
    <w:div w:id="1512454206">
      <w:bodyDiv w:val="1"/>
      <w:marLeft w:val="0"/>
      <w:marRight w:val="0"/>
      <w:marTop w:val="0"/>
      <w:marBottom w:val="0"/>
      <w:divBdr>
        <w:top w:val="none" w:sz="0" w:space="0" w:color="auto"/>
        <w:left w:val="none" w:sz="0" w:space="0" w:color="auto"/>
        <w:bottom w:val="none" w:sz="0" w:space="0" w:color="auto"/>
        <w:right w:val="none" w:sz="0" w:space="0" w:color="auto"/>
      </w:divBdr>
    </w:div>
    <w:div w:id="1526551240">
      <w:bodyDiv w:val="1"/>
      <w:marLeft w:val="0"/>
      <w:marRight w:val="0"/>
      <w:marTop w:val="0"/>
      <w:marBottom w:val="0"/>
      <w:divBdr>
        <w:top w:val="none" w:sz="0" w:space="0" w:color="auto"/>
        <w:left w:val="none" w:sz="0" w:space="0" w:color="auto"/>
        <w:bottom w:val="none" w:sz="0" w:space="0" w:color="auto"/>
        <w:right w:val="none" w:sz="0" w:space="0" w:color="auto"/>
      </w:divBdr>
    </w:div>
    <w:div w:id="1535196041">
      <w:bodyDiv w:val="1"/>
      <w:marLeft w:val="0"/>
      <w:marRight w:val="0"/>
      <w:marTop w:val="0"/>
      <w:marBottom w:val="0"/>
      <w:divBdr>
        <w:top w:val="none" w:sz="0" w:space="0" w:color="auto"/>
        <w:left w:val="none" w:sz="0" w:space="0" w:color="auto"/>
        <w:bottom w:val="none" w:sz="0" w:space="0" w:color="auto"/>
        <w:right w:val="none" w:sz="0" w:space="0" w:color="auto"/>
      </w:divBdr>
    </w:div>
    <w:div w:id="1536117259">
      <w:bodyDiv w:val="1"/>
      <w:marLeft w:val="0"/>
      <w:marRight w:val="0"/>
      <w:marTop w:val="0"/>
      <w:marBottom w:val="0"/>
      <w:divBdr>
        <w:top w:val="none" w:sz="0" w:space="0" w:color="auto"/>
        <w:left w:val="none" w:sz="0" w:space="0" w:color="auto"/>
        <w:bottom w:val="none" w:sz="0" w:space="0" w:color="auto"/>
        <w:right w:val="none" w:sz="0" w:space="0" w:color="auto"/>
      </w:divBdr>
    </w:div>
    <w:div w:id="1580285729">
      <w:bodyDiv w:val="1"/>
      <w:marLeft w:val="0"/>
      <w:marRight w:val="0"/>
      <w:marTop w:val="0"/>
      <w:marBottom w:val="0"/>
      <w:divBdr>
        <w:top w:val="none" w:sz="0" w:space="0" w:color="auto"/>
        <w:left w:val="none" w:sz="0" w:space="0" w:color="auto"/>
        <w:bottom w:val="none" w:sz="0" w:space="0" w:color="auto"/>
        <w:right w:val="none" w:sz="0" w:space="0" w:color="auto"/>
      </w:divBdr>
    </w:div>
    <w:div w:id="1609698101">
      <w:bodyDiv w:val="1"/>
      <w:marLeft w:val="0"/>
      <w:marRight w:val="0"/>
      <w:marTop w:val="0"/>
      <w:marBottom w:val="0"/>
      <w:divBdr>
        <w:top w:val="none" w:sz="0" w:space="0" w:color="auto"/>
        <w:left w:val="none" w:sz="0" w:space="0" w:color="auto"/>
        <w:bottom w:val="none" w:sz="0" w:space="0" w:color="auto"/>
        <w:right w:val="none" w:sz="0" w:space="0" w:color="auto"/>
      </w:divBdr>
    </w:div>
    <w:div w:id="1643384248">
      <w:bodyDiv w:val="1"/>
      <w:marLeft w:val="0"/>
      <w:marRight w:val="0"/>
      <w:marTop w:val="0"/>
      <w:marBottom w:val="0"/>
      <w:divBdr>
        <w:top w:val="none" w:sz="0" w:space="0" w:color="auto"/>
        <w:left w:val="none" w:sz="0" w:space="0" w:color="auto"/>
        <w:bottom w:val="none" w:sz="0" w:space="0" w:color="auto"/>
        <w:right w:val="none" w:sz="0" w:space="0" w:color="auto"/>
      </w:divBdr>
    </w:div>
    <w:div w:id="1671523324">
      <w:bodyDiv w:val="1"/>
      <w:marLeft w:val="0"/>
      <w:marRight w:val="0"/>
      <w:marTop w:val="0"/>
      <w:marBottom w:val="0"/>
      <w:divBdr>
        <w:top w:val="none" w:sz="0" w:space="0" w:color="auto"/>
        <w:left w:val="none" w:sz="0" w:space="0" w:color="auto"/>
        <w:bottom w:val="none" w:sz="0" w:space="0" w:color="auto"/>
        <w:right w:val="none" w:sz="0" w:space="0" w:color="auto"/>
      </w:divBdr>
    </w:div>
    <w:div w:id="1691301581">
      <w:bodyDiv w:val="1"/>
      <w:marLeft w:val="0"/>
      <w:marRight w:val="0"/>
      <w:marTop w:val="0"/>
      <w:marBottom w:val="0"/>
      <w:divBdr>
        <w:top w:val="none" w:sz="0" w:space="0" w:color="auto"/>
        <w:left w:val="none" w:sz="0" w:space="0" w:color="auto"/>
        <w:bottom w:val="none" w:sz="0" w:space="0" w:color="auto"/>
        <w:right w:val="none" w:sz="0" w:space="0" w:color="auto"/>
      </w:divBdr>
    </w:div>
    <w:div w:id="1747456540">
      <w:bodyDiv w:val="1"/>
      <w:marLeft w:val="0"/>
      <w:marRight w:val="0"/>
      <w:marTop w:val="0"/>
      <w:marBottom w:val="0"/>
      <w:divBdr>
        <w:top w:val="none" w:sz="0" w:space="0" w:color="auto"/>
        <w:left w:val="none" w:sz="0" w:space="0" w:color="auto"/>
        <w:bottom w:val="none" w:sz="0" w:space="0" w:color="auto"/>
        <w:right w:val="none" w:sz="0" w:space="0" w:color="auto"/>
      </w:divBdr>
    </w:div>
    <w:div w:id="1751803221">
      <w:bodyDiv w:val="1"/>
      <w:marLeft w:val="0"/>
      <w:marRight w:val="0"/>
      <w:marTop w:val="0"/>
      <w:marBottom w:val="0"/>
      <w:divBdr>
        <w:top w:val="none" w:sz="0" w:space="0" w:color="auto"/>
        <w:left w:val="none" w:sz="0" w:space="0" w:color="auto"/>
        <w:bottom w:val="none" w:sz="0" w:space="0" w:color="auto"/>
        <w:right w:val="none" w:sz="0" w:space="0" w:color="auto"/>
      </w:divBdr>
    </w:div>
    <w:div w:id="1772579721">
      <w:bodyDiv w:val="1"/>
      <w:marLeft w:val="0"/>
      <w:marRight w:val="0"/>
      <w:marTop w:val="0"/>
      <w:marBottom w:val="0"/>
      <w:divBdr>
        <w:top w:val="none" w:sz="0" w:space="0" w:color="auto"/>
        <w:left w:val="none" w:sz="0" w:space="0" w:color="auto"/>
        <w:bottom w:val="none" w:sz="0" w:space="0" w:color="auto"/>
        <w:right w:val="none" w:sz="0" w:space="0" w:color="auto"/>
      </w:divBdr>
    </w:div>
    <w:div w:id="1903904731">
      <w:bodyDiv w:val="1"/>
      <w:marLeft w:val="0"/>
      <w:marRight w:val="0"/>
      <w:marTop w:val="0"/>
      <w:marBottom w:val="0"/>
      <w:divBdr>
        <w:top w:val="none" w:sz="0" w:space="0" w:color="auto"/>
        <w:left w:val="none" w:sz="0" w:space="0" w:color="auto"/>
        <w:bottom w:val="none" w:sz="0" w:space="0" w:color="auto"/>
        <w:right w:val="none" w:sz="0" w:space="0" w:color="auto"/>
      </w:divBdr>
      <w:divsChild>
        <w:div w:id="428696075">
          <w:marLeft w:val="0"/>
          <w:marRight w:val="0"/>
          <w:marTop w:val="0"/>
          <w:marBottom w:val="0"/>
          <w:divBdr>
            <w:top w:val="none" w:sz="0" w:space="0" w:color="auto"/>
            <w:left w:val="none" w:sz="0" w:space="0" w:color="auto"/>
            <w:bottom w:val="none" w:sz="0" w:space="0" w:color="auto"/>
            <w:right w:val="none" w:sz="0" w:space="0" w:color="auto"/>
          </w:divBdr>
          <w:divsChild>
            <w:div w:id="1294023258">
              <w:marLeft w:val="0"/>
              <w:marRight w:val="0"/>
              <w:marTop w:val="0"/>
              <w:marBottom w:val="150"/>
              <w:divBdr>
                <w:top w:val="none" w:sz="0" w:space="0" w:color="auto"/>
                <w:left w:val="none" w:sz="0" w:space="0" w:color="auto"/>
                <w:bottom w:val="none" w:sz="0" w:space="0" w:color="auto"/>
                <w:right w:val="none" w:sz="0" w:space="0" w:color="auto"/>
              </w:divBdr>
              <w:divsChild>
                <w:div w:id="1942299492">
                  <w:marLeft w:val="0"/>
                  <w:marRight w:val="0"/>
                  <w:marTop w:val="0"/>
                  <w:marBottom w:val="0"/>
                  <w:divBdr>
                    <w:top w:val="none" w:sz="0" w:space="0" w:color="auto"/>
                    <w:left w:val="none" w:sz="0" w:space="0" w:color="auto"/>
                    <w:bottom w:val="none" w:sz="0" w:space="0" w:color="auto"/>
                    <w:right w:val="none" w:sz="0" w:space="0" w:color="auto"/>
                  </w:divBdr>
                  <w:divsChild>
                    <w:div w:id="538855929">
                      <w:marLeft w:val="0"/>
                      <w:marRight w:val="0"/>
                      <w:marTop w:val="0"/>
                      <w:marBottom w:val="0"/>
                      <w:divBdr>
                        <w:top w:val="none" w:sz="0" w:space="0" w:color="auto"/>
                        <w:left w:val="none" w:sz="0" w:space="0" w:color="auto"/>
                        <w:bottom w:val="none" w:sz="0" w:space="0" w:color="auto"/>
                        <w:right w:val="none" w:sz="0" w:space="0" w:color="auto"/>
                      </w:divBdr>
                      <w:divsChild>
                        <w:div w:id="522668220">
                          <w:marLeft w:val="0"/>
                          <w:marRight w:val="0"/>
                          <w:marTop w:val="0"/>
                          <w:marBottom w:val="0"/>
                          <w:divBdr>
                            <w:top w:val="none" w:sz="0" w:space="0" w:color="auto"/>
                            <w:left w:val="none" w:sz="0" w:space="0" w:color="auto"/>
                            <w:bottom w:val="none" w:sz="0" w:space="0" w:color="auto"/>
                            <w:right w:val="none" w:sz="0" w:space="0" w:color="auto"/>
                          </w:divBdr>
                        </w:div>
                        <w:div w:id="21247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287596">
      <w:bodyDiv w:val="1"/>
      <w:marLeft w:val="0"/>
      <w:marRight w:val="0"/>
      <w:marTop w:val="0"/>
      <w:marBottom w:val="0"/>
      <w:divBdr>
        <w:top w:val="none" w:sz="0" w:space="0" w:color="auto"/>
        <w:left w:val="none" w:sz="0" w:space="0" w:color="auto"/>
        <w:bottom w:val="none" w:sz="0" w:space="0" w:color="auto"/>
        <w:right w:val="none" w:sz="0" w:space="0" w:color="auto"/>
      </w:divBdr>
    </w:div>
    <w:div w:id="1935087825">
      <w:bodyDiv w:val="1"/>
      <w:marLeft w:val="0"/>
      <w:marRight w:val="0"/>
      <w:marTop w:val="0"/>
      <w:marBottom w:val="0"/>
      <w:divBdr>
        <w:top w:val="none" w:sz="0" w:space="0" w:color="auto"/>
        <w:left w:val="none" w:sz="0" w:space="0" w:color="auto"/>
        <w:bottom w:val="none" w:sz="0" w:space="0" w:color="auto"/>
        <w:right w:val="none" w:sz="0" w:space="0" w:color="auto"/>
      </w:divBdr>
    </w:div>
    <w:div w:id="1977880369">
      <w:bodyDiv w:val="1"/>
      <w:marLeft w:val="0"/>
      <w:marRight w:val="0"/>
      <w:marTop w:val="0"/>
      <w:marBottom w:val="0"/>
      <w:divBdr>
        <w:top w:val="none" w:sz="0" w:space="0" w:color="auto"/>
        <w:left w:val="none" w:sz="0" w:space="0" w:color="auto"/>
        <w:bottom w:val="none" w:sz="0" w:space="0" w:color="auto"/>
        <w:right w:val="none" w:sz="0" w:space="0" w:color="auto"/>
      </w:divBdr>
    </w:div>
    <w:div w:id="2013069779">
      <w:bodyDiv w:val="1"/>
      <w:marLeft w:val="0"/>
      <w:marRight w:val="0"/>
      <w:marTop w:val="0"/>
      <w:marBottom w:val="0"/>
      <w:divBdr>
        <w:top w:val="none" w:sz="0" w:space="0" w:color="auto"/>
        <w:left w:val="none" w:sz="0" w:space="0" w:color="auto"/>
        <w:bottom w:val="none" w:sz="0" w:space="0" w:color="auto"/>
        <w:right w:val="none" w:sz="0" w:space="0" w:color="auto"/>
      </w:divBdr>
    </w:div>
    <w:div w:id="2108186525">
      <w:bodyDiv w:val="1"/>
      <w:marLeft w:val="0"/>
      <w:marRight w:val="0"/>
      <w:marTop w:val="0"/>
      <w:marBottom w:val="0"/>
      <w:divBdr>
        <w:top w:val="none" w:sz="0" w:space="0" w:color="auto"/>
        <w:left w:val="none" w:sz="0" w:space="0" w:color="auto"/>
        <w:bottom w:val="none" w:sz="0" w:space="0" w:color="auto"/>
        <w:right w:val="none" w:sz="0" w:space="0" w:color="auto"/>
      </w:divBdr>
    </w:div>
    <w:div w:id="2133554723">
      <w:bodyDiv w:val="1"/>
      <w:marLeft w:val="0"/>
      <w:marRight w:val="0"/>
      <w:marTop w:val="0"/>
      <w:marBottom w:val="0"/>
      <w:divBdr>
        <w:top w:val="none" w:sz="0" w:space="0" w:color="auto"/>
        <w:left w:val="none" w:sz="0" w:space="0" w:color="auto"/>
        <w:bottom w:val="none" w:sz="0" w:space="0" w:color="auto"/>
        <w:right w:val="none" w:sz="0" w:space="0" w:color="auto"/>
      </w:divBdr>
    </w:div>
    <w:div w:id="2134052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2.xml"/><Relationship Id="rId19" Type="http://schemas.openxmlformats.org/officeDocument/2006/relationships/hyperlink" Target="http://aic.gov.au/media_library/publications/special/005/Indigenous-Youth-Justice-Programs-Evaluatio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ghclaycenter.org/hot-topics/teenagers-responsible/" TargetMode="External"/><Relationship Id="rId13" Type="http://schemas.openxmlformats.org/officeDocument/2006/relationships/hyperlink" Target="https://www.sentencingcouncil.vic.gov.au/sites/default/files/publication-documents/Reoffending_by_Children_and_Young_People_in_Victoria.pdf" TargetMode="External"/><Relationship Id="rId18" Type="http://schemas.openxmlformats.org/officeDocument/2006/relationships/hyperlink" Target="http://youthlaw.asn.au/campaigns-advocacy/justice-reinvestment-home/intro-to-justice-reinvenstment/" TargetMode="External"/><Relationship Id="rId26" Type="http://schemas.openxmlformats.org/officeDocument/2006/relationships/hyperlink" Target="http://www.smartjustice.org.au/cb_pages/files/SJFYP%20Diversion%20fact%20sheet%20July%202014.pdf" TargetMode="External"/><Relationship Id="rId3" Type="http://schemas.openxmlformats.org/officeDocument/2006/relationships/hyperlink" Target="http://parkvillecollege.vic.edu.au/?page_id=14" TargetMode="External"/><Relationship Id="rId21" Type="http://schemas.openxmlformats.org/officeDocument/2006/relationships/hyperlink" Target="http://www.abc.net.au/news/2016-12-04/statistics-raise-questions-about-calls-to-deport-youth-offenders/8087410" TargetMode="External"/><Relationship Id="rId34" Type="http://schemas.openxmlformats.org/officeDocument/2006/relationships/hyperlink" Target="http://www.ysas.org.au/sites/default/files/YSAS0059_2013_Snapshot_v3.pdf" TargetMode="External"/><Relationship Id="rId7" Type="http://schemas.openxmlformats.org/officeDocument/2006/relationships/hyperlink" Target="https://royalsociety.org/~/media/Royal_Society_Content/policy/projects/brain-waves/Brain-Waves-4.pdf" TargetMode="External"/><Relationship Id="rId12" Type="http://schemas.openxmlformats.org/officeDocument/2006/relationships/hyperlink" Target="https://www.sentencingcouncil.vic.gov.au/sites/default/files/publication-documents/Reoffending_by_Children_and_Young_People_in_Victoria.pdf" TargetMode="External"/><Relationship Id="rId17" Type="http://schemas.openxmlformats.org/officeDocument/2006/relationships/hyperlink" Target="http://vcoss.org.au/documents/2013/06/JusticeReinvestment.Final_.pdf" TargetMode="External"/><Relationship Id="rId25" Type="http://schemas.openxmlformats.org/officeDocument/2006/relationships/hyperlink" Target="http://www.smartjustice.org.au/cb_pages/files/SJFYP%20Diversion%20fact%20sheet%20July%202014.pdf" TargetMode="External"/><Relationship Id="rId33" Type="http://schemas.openxmlformats.org/officeDocument/2006/relationships/hyperlink" Target="http://www.theage.com.au/comment/dealing-with-young-offenders-is-difficult-but-not-impossible-20161128-gszb9r.html" TargetMode="External"/><Relationship Id="rId2" Type="http://schemas.openxmlformats.org/officeDocument/2006/relationships/hyperlink" Target="http://parkvillecollege.vic.edu.au/?page_id=14" TargetMode="External"/><Relationship Id="rId16" Type="http://schemas.openxmlformats.org/officeDocument/2006/relationships/hyperlink" Target="http://youthlaw.asn.au/campaigns-advocacy/justice-reinvestment-home/intro-to-justice-reinvenstment/" TargetMode="External"/><Relationship Id="rId20" Type="http://schemas.openxmlformats.org/officeDocument/2006/relationships/hyperlink" Target="https://dote.org.au/map/" TargetMode="External"/><Relationship Id="rId29" Type="http://schemas.openxmlformats.org/officeDocument/2006/relationships/hyperlink" Target="http://www.smartjustice.org.au/cb_pages/files/Diversion%20paper(3).pdf" TargetMode="External"/><Relationship Id="rId1" Type="http://schemas.openxmlformats.org/officeDocument/2006/relationships/hyperlink" Target="https://www.childwelfare.gov/pubPDFs/brain_development.pdf" TargetMode="External"/><Relationship Id="rId6" Type="http://schemas.openxmlformats.org/officeDocument/2006/relationships/hyperlink" Target="https://www.hrlc.org.au/news/2017/2/6/moving-youth-justice-to-adult-corrections-the-wrong-approach" TargetMode="External"/><Relationship Id="rId11" Type="http://schemas.openxmlformats.org/officeDocument/2006/relationships/hyperlink" Target="https://royalsociety.org/~/media/Royal_Society_Content/policy/projects/brain-waves/Brain-Waves-4.pdf" TargetMode="External"/><Relationship Id="rId24" Type="http://schemas.openxmlformats.org/officeDocument/2006/relationships/hyperlink" Target="http://www.smartjustice.org.au/cb_pages/files/SJFYP%20Diversion%20fact%20sheet%20July%202014.pdf" TargetMode="External"/><Relationship Id="rId32" Type="http://schemas.openxmlformats.org/officeDocument/2006/relationships/hyperlink" Target="http://www.vic.gov.au/system/user_files/Documents/av/Victorian_Government_Aborginal_Affairs_Report_2016.pdf" TargetMode="External"/><Relationship Id="rId5" Type="http://schemas.openxmlformats.org/officeDocument/2006/relationships/hyperlink" Target="http://www.cfecfw.asn.au/learning-and-development/residential-care-learning-and-development-strategy/rclds-events-and-forum-0" TargetMode="External"/><Relationship Id="rId15" Type="http://schemas.openxmlformats.org/officeDocument/2006/relationships/hyperlink" Target="http://youthlaw.asn.au/campaigns-advocacy/justice-reinvestment-home/intro-to-justice-reinvenstment/" TargetMode="External"/><Relationship Id="rId23" Type="http://schemas.openxmlformats.org/officeDocument/2006/relationships/hyperlink" Target="https://jss.org.au/helping-aboriginal-children-stay-out-of-the-justice-system/" TargetMode="External"/><Relationship Id="rId28" Type="http://schemas.openxmlformats.org/officeDocument/2006/relationships/hyperlink" Target="https://jss.org.au/what-we-do/justice-and-crime-prevention/youth-justice-group-conferencing/" TargetMode="External"/><Relationship Id="rId36" Type="http://schemas.openxmlformats.org/officeDocument/2006/relationships/hyperlink" Target="http://www.ysas.org.au/sites/default/files/YSAS0059_2013_Snapshot_v3.pdf" TargetMode="External"/><Relationship Id="rId10" Type="http://schemas.openxmlformats.org/officeDocument/2006/relationships/hyperlink" Target="http://www.mghclaycenter.org/hot-topics/teenagers-responsible/" TargetMode="External"/><Relationship Id="rId19" Type="http://schemas.openxmlformats.org/officeDocument/2006/relationships/hyperlink" Target="http://www.aboriginalaffairs.nsw.gov.au/pdfs/profiles/local-government-areas/Bourke.pdf" TargetMode="External"/><Relationship Id="rId31" Type="http://schemas.openxmlformats.org/officeDocument/2006/relationships/hyperlink" Target="https://jss.org.au/to-address-youth-offending-we-must-look-to-the-evidence-of-what-works/" TargetMode="External"/><Relationship Id="rId4" Type="http://schemas.openxmlformats.org/officeDocument/2006/relationships/hyperlink" Target="http://rccp.cornell.edu/tci/tci-1_system.html" TargetMode="External"/><Relationship Id="rId9" Type="http://schemas.openxmlformats.org/officeDocument/2006/relationships/hyperlink" Target="https://royalsociety.org/~/media/Royal_Society_Content/policy/projects/brain-waves/Brain-Waves-4.pdf" TargetMode="External"/><Relationship Id="rId14" Type="http://schemas.openxmlformats.org/officeDocument/2006/relationships/hyperlink" Target="http://vcoss.org.au/documents/2016/12/REP_161213_Engaging-schools-report_Final.pdf%20and%20associated%20media%20release:%20http:/vcoss.org.au/media-release/new-10-point-plan-to-make-schools-more-engaging/" TargetMode="External"/><Relationship Id="rId22" Type="http://schemas.openxmlformats.org/officeDocument/2006/relationships/hyperlink" Target="https://www.vu.edu.au/sites/default/files/mcd/pdfs/dont-go-there-study-may-2010.pdf" TargetMode="External"/><Relationship Id="rId27" Type="http://schemas.openxmlformats.org/officeDocument/2006/relationships/hyperlink" Target="http://www.smartjustice.org.au/cb_pages/files/Diversion%20paper(3).pdf" TargetMode="External"/><Relationship Id="rId30" Type="http://schemas.openxmlformats.org/officeDocument/2006/relationships/hyperlink" Target="https://jss.org.au/to-address-youth-offending-we-must-look-to-the-evidence-of-what-works/" TargetMode="External"/><Relationship Id="rId35" Type="http://schemas.openxmlformats.org/officeDocument/2006/relationships/hyperlink" Target="http://www.theage.com.au/comment/dealing-with-young-offenders-is-difficult-but-not-impossible-20161128-gszb9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External%20Relations\Government\Submissions\Submissions%20templates\TEM_150518_Submissions%20Template%20Accessible-sml.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FCCBE0-B62B-4B0D-9F02-F80F90E9DA70}"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AU"/>
        </a:p>
      </dgm:t>
    </dgm:pt>
    <dgm:pt modelId="{652AFE2E-C4F7-4142-A19E-3C4D584EE4A7}">
      <dgm:prSet phldrT="[Text]"/>
      <dgm:spPr/>
      <dgm:t>
        <a:bodyPr/>
        <a:lstStyle/>
        <a:p>
          <a:r>
            <a:rPr lang="en-AU"/>
            <a:t>Prevention (addressing known risk factors)</a:t>
          </a:r>
        </a:p>
      </dgm:t>
    </dgm:pt>
    <dgm:pt modelId="{670990A2-8231-49CA-A546-39211059F83F}" type="parTrans" cxnId="{1F14ADD5-FFA3-4A44-84B5-9A4FB1FC13D5}">
      <dgm:prSet/>
      <dgm:spPr/>
      <dgm:t>
        <a:bodyPr/>
        <a:lstStyle/>
        <a:p>
          <a:endParaRPr lang="en-US"/>
        </a:p>
      </dgm:t>
    </dgm:pt>
    <dgm:pt modelId="{686225FC-B42A-47FC-AF9A-82D95ED2AD20}" type="sibTrans" cxnId="{1F14ADD5-FFA3-4A44-84B5-9A4FB1FC13D5}">
      <dgm:prSet/>
      <dgm:spPr/>
      <dgm:t>
        <a:bodyPr/>
        <a:lstStyle/>
        <a:p>
          <a:endParaRPr lang="en-US"/>
        </a:p>
      </dgm:t>
    </dgm:pt>
    <dgm:pt modelId="{FCAFCF1E-FAD4-47BB-BAE6-8650FDA29D2C}">
      <dgm:prSet phldrT="[Text]"/>
      <dgm:spPr/>
      <dgm:t>
        <a:bodyPr/>
        <a:lstStyle/>
        <a:p>
          <a:r>
            <a:rPr lang="en-AU"/>
            <a:t>Early intervention (young people at risk of offending)</a:t>
          </a:r>
        </a:p>
      </dgm:t>
    </dgm:pt>
    <dgm:pt modelId="{42A0A490-B427-416D-8B14-663104CBB5A1}" type="parTrans" cxnId="{0B3DC36F-1B0C-4D0A-B073-AC881AA03443}">
      <dgm:prSet/>
      <dgm:spPr/>
      <dgm:t>
        <a:bodyPr/>
        <a:lstStyle/>
        <a:p>
          <a:endParaRPr lang="en-US"/>
        </a:p>
      </dgm:t>
    </dgm:pt>
    <dgm:pt modelId="{8E496658-1A05-4045-AE75-C3E53673EB00}" type="sibTrans" cxnId="{0B3DC36F-1B0C-4D0A-B073-AC881AA03443}">
      <dgm:prSet/>
      <dgm:spPr/>
      <dgm:t>
        <a:bodyPr/>
        <a:lstStyle/>
        <a:p>
          <a:endParaRPr lang="en-US"/>
        </a:p>
      </dgm:t>
    </dgm:pt>
    <dgm:pt modelId="{C3275919-461D-4557-82EA-9F3C112DCF91}">
      <dgm:prSet phldrT="[Text]"/>
      <dgm:spPr/>
      <dgm:t>
        <a:bodyPr/>
        <a:lstStyle/>
        <a:p>
          <a:r>
            <a:rPr lang="en-AU"/>
            <a:t>Diversion (usually for first or second time offenders)</a:t>
          </a:r>
        </a:p>
      </dgm:t>
    </dgm:pt>
    <dgm:pt modelId="{358D416D-C1BF-4C32-A8FA-CB41165BFABC}" type="parTrans" cxnId="{F6859F90-33BA-48BD-B857-18AC7E9656F1}">
      <dgm:prSet/>
      <dgm:spPr/>
      <dgm:t>
        <a:bodyPr/>
        <a:lstStyle/>
        <a:p>
          <a:endParaRPr lang="en-US"/>
        </a:p>
      </dgm:t>
    </dgm:pt>
    <dgm:pt modelId="{DB7534B2-B417-4BCE-964A-8E9C1B3BBED0}" type="sibTrans" cxnId="{F6859F90-33BA-48BD-B857-18AC7E9656F1}">
      <dgm:prSet/>
      <dgm:spPr/>
      <dgm:t>
        <a:bodyPr/>
        <a:lstStyle/>
        <a:p>
          <a:endParaRPr lang="en-US"/>
        </a:p>
      </dgm:t>
    </dgm:pt>
    <dgm:pt modelId="{BA38F77A-F38F-4C03-8056-3B2D131AD6EF}">
      <dgm:prSet phldrT="[Text]"/>
      <dgm:spPr/>
      <dgm:t>
        <a:bodyPr/>
        <a:lstStyle/>
        <a:p>
          <a:r>
            <a:rPr lang="en-AU"/>
            <a:t>Tertiary intervention (treatment to prevent reoffending)</a:t>
          </a:r>
        </a:p>
      </dgm:t>
    </dgm:pt>
    <dgm:pt modelId="{17C6482D-E283-4119-927A-20F9788AFCE5}" type="parTrans" cxnId="{C89A2FB3-37E3-46E7-831F-7F00E104BB4A}">
      <dgm:prSet/>
      <dgm:spPr/>
      <dgm:t>
        <a:bodyPr/>
        <a:lstStyle/>
        <a:p>
          <a:endParaRPr lang="en-AU"/>
        </a:p>
      </dgm:t>
    </dgm:pt>
    <dgm:pt modelId="{C78110CE-9C7D-4BAF-912B-4996FEE2259C}" type="sibTrans" cxnId="{C89A2FB3-37E3-46E7-831F-7F00E104BB4A}">
      <dgm:prSet/>
      <dgm:spPr/>
      <dgm:t>
        <a:bodyPr/>
        <a:lstStyle/>
        <a:p>
          <a:endParaRPr lang="en-AU"/>
        </a:p>
      </dgm:t>
    </dgm:pt>
    <dgm:pt modelId="{8A7E642C-5BD5-4545-B1F1-E5257061C6BF}" type="pres">
      <dgm:prSet presAssocID="{79FCCBE0-B62B-4B0D-9F02-F80F90E9DA70}" presName="CompostProcess" presStyleCnt="0">
        <dgm:presLayoutVars>
          <dgm:dir/>
          <dgm:resizeHandles val="exact"/>
        </dgm:presLayoutVars>
      </dgm:prSet>
      <dgm:spPr/>
      <dgm:t>
        <a:bodyPr/>
        <a:lstStyle/>
        <a:p>
          <a:endParaRPr lang="en-AU"/>
        </a:p>
      </dgm:t>
    </dgm:pt>
    <dgm:pt modelId="{02A73079-38AE-4B7D-809D-4FC8C6A132EA}" type="pres">
      <dgm:prSet presAssocID="{79FCCBE0-B62B-4B0D-9F02-F80F90E9DA70}" presName="arrow" presStyleLbl="bgShp" presStyleIdx="0" presStyleCnt="1"/>
      <dgm:spPr/>
    </dgm:pt>
    <dgm:pt modelId="{25131837-EEA3-4EE8-BEED-9AC8DE2C8D36}" type="pres">
      <dgm:prSet presAssocID="{79FCCBE0-B62B-4B0D-9F02-F80F90E9DA70}" presName="linearProcess" presStyleCnt="0"/>
      <dgm:spPr/>
    </dgm:pt>
    <dgm:pt modelId="{77D671EB-CF6B-4596-B90F-3849E1822D4D}" type="pres">
      <dgm:prSet presAssocID="{652AFE2E-C4F7-4142-A19E-3C4D584EE4A7}" presName="textNode" presStyleLbl="node1" presStyleIdx="0" presStyleCnt="4">
        <dgm:presLayoutVars>
          <dgm:bulletEnabled val="1"/>
        </dgm:presLayoutVars>
      </dgm:prSet>
      <dgm:spPr/>
      <dgm:t>
        <a:bodyPr/>
        <a:lstStyle/>
        <a:p>
          <a:endParaRPr lang="en-AU"/>
        </a:p>
      </dgm:t>
    </dgm:pt>
    <dgm:pt modelId="{0717D504-5DE3-4A35-B1D9-A925537345FE}" type="pres">
      <dgm:prSet presAssocID="{686225FC-B42A-47FC-AF9A-82D95ED2AD20}" presName="sibTrans" presStyleCnt="0"/>
      <dgm:spPr/>
    </dgm:pt>
    <dgm:pt modelId="{E82D12DF-9D17-4FF4-A89B-C2242D9D24A1}" type="pres">
      <dgm:prSet presAssocID="{FCAFCF1E-FAD4-47BB-BAE6-8650FDA29D2C}" presName="textNode" presStyleLbl="node1" presStyleIdx="1" presStyleCnt="4">
        <dgm:presLayoutVars>
          <dgm:bulletEnabled val="1"/>
        </dgm:presLayoutVars>
      </dgm:prSet>
      <dgm:spPr/>
      <dgm:t>
        <a:bodyPr/>
        <a:lstStyle/>
        <a:p>
          <a:endParaRPr lang="en-AU"/>
        </a:p>
      </dgm:t>
    </dgm:pt>
    <dgm:pt modelId="{A33A0FA6-6656-41FE-B3C0-83C62F7F46D5}" type="pres">
      <dgm:prSet presAssocID="{8E496658-1A05-4045-AE75-C3E53673EB00}" presName="sibTrans" presStyleCnt="0"/>
      <dgm:spPr/>
    </dgm:pt>
    <dgm:pt modelId="{020AE82E-F11B-4088-80A6-178B6EB9620C}" type="pres">
      <dgm:prSet presAssocID="{C3275919-461D-4557-82EA-9F3C112DCF91}" presName="textNode" presStyleLbl="node1" presStyleIdx="2" presStyleCnt="4">
        <dgm:presLayoutVars>
          <dgm:bulletEnabled val="1"/>
        </dgm:presLayoutVars>
      </dgm:prSet>
      <dgm:spPr/>
      <dgm:t>
        <a:bodyPr/>
        <a:lstStyle/>
        <a:p>
          <a:endParaRPr lang="en-AU"/>
        </a:p>
      </dgm:t>
    </dgm:pt>
    <dgm:pt modelId="{3950742A-80DA-45DF-A337-9C4CD14E2293}" type="pres">
      <dgm:prSet presAssocID="{DB7534B2-B417-4BCE-964A-8E9C1B3BBED0}" presName="sibTrans" presStyleCnt="0"/>
      <dgm:spPr/>
    </dgm:pt>
    <dgm:pt modelId="{8F71C5D0-246E-4ECD-BC80-94A04F1B0B8A}" type="pres">
      <dgm:prSet presAssocID="{BA38F77A-F38F-4C03-8056-3B2D131AD6EF}" presName="textNode" presStyleLbl="node1" presStyleIdx="3" presStyleCnt="4">
        <dgm:presLayoutVars>
          <dgm:bulletEnabled val="1"/>
        </dgm:presLayoutVars>
      </dgm:prSet>
      <dgm:spPr/>
      <dgm:t>
        <a:bodyPr/>
        <a:lstStyle/>
        <a:p>
          <a:endParaRPr lang="en-AU"/>
        </a:p>
      </dgm:t>
    </dgm:pt>
  </dgm:ptLst>
  <dgm:cxnLst>
    <dgm:cxn modelId="{1F14ADD5-FFA3-4A44-84B5-9A4FB1FC13D5}" srcId="{79FCCBE0-B62B-4B0D-9F02-F80F90E9DA70}" destId="{652AFE2E-C4F7-4142-A19E-3C4D584EE4A7}" srcOrd="0" destOrd="0" parTransId="{670990A2-8231-49CA-A546-39211059F83F}" sibTransId="{686225FC-B42A-47FC-AF9A-82D95ED2AD20}"/>
    <dgm:cxn modelId="{25AD05AF-9FC7-443D-B218-1F77FF05A077}" type="presOf" srcId="{C3275919-461D-4557-82EA-9F3C112DCF91}" destId="{020AE82E-F11B-4088-80A6-178B6EB9620C}" srcOrd="0" destOrd="0" presId="urn:microsoft.com/office/officeart/2005/8/layout/hProcess9"/>
    <dgm:cxn modelId="{00A204B4-D92E-4F54-81B0-4C63F870A5EA}" type="presOf" srcId="{79FCCBE0-B62B-4B0D-9F02-F80F90E9DA70}" destId="{8A7E642C-5BD5-4545-B1F1-E5257061C6BF}" srcOrd="0" destOrd="0" presId="urn:microsoft.com/office/officeart/2005/8/layout/hProcess9"/>
    <dgm:cxn modelId="{C89A2FB3-37E3-46E7-831F-7F00E104BB4A}" srcId="{79FCCBE0-B62B-4B0D-9F02-F80F90E9DA70}" destId="{BA38F77A-F38F-4C03-8056-3B2D131AD6EF}" srcOrd="3" destOrd="0" parTransId="{17C6482D-E283-4119-927A-20F9788AFCE5}" sibTransId="{C78110CE-9C7D-4BAF-912B-4996FEE2259C}"/>
    <dgm:cxn modelId="{0B3DC36F-1B0C-4D0A-B073-AC881AA03443}" srcId="{79FCCBE0-B62B-4B0D-9F02-F80F90E9DA70}" destId="{FCAFCF1E-FAD4-47BB-BAE6-8650FDA29D2C}" srcOrd="1" destOrd="0" parTransId="{42A0A490-B427-416D-8B14-663104CBB5A1}" sibTransId="{8E496658-1A05-4045-AE75-C3E53673EB00}"/>
    <dgm:cxn modelId="{F6859F90-33BA-48BD-B857-18AC7E9656F1}" srcId="{79FCCBE0-B62B-4B0D-9F02-F80F90E9DA70}" destId="{C3275919-461D-4557-82EA-9F3C112DCF91}" srcOrd="2" destOrd="0" parTransId="{358D416D-C1BF-4C32-A8FA-CB41165BFABC}" sibTransId="{DB7534B2-B417-4BCE-964A-8E9C1B3BBED0}"/>
    <dgm:cxn modelId="{6B78DE4A-E550-4544-994F-038B023E2DD4}" type="presOf" srcId="{BA38F77A-F38F-4C03-8056-3B2D131AD6EF}" destId="{8F71C5D0-246E-4ECD-BC80-94A04F1B0B8A}" srcOrd="0" destOrd="0" presId="urn:microsoft.com/office/officeart/2005/8/layout/hProcess9"/>
    <dgm:cxn modelId="{F8704A2E-39FC-490B-A8C4-35E8128E81E3}" type="presOf" srcId="{652AFE2E-C4F7-4142-A19E-3C4D584EE4A7}" destId="{77D671EB-CF6B-4596-B90F-3849E1822D4D}" srcOrd="0" destOrd="0" presId="urn:microsoft.com/office/officeart/2005/8/layout/hProcess9"/>
    <dgm:cxn modelId="{7206492A-B6AE-4759-9E49-5E5108F04532}" type="presOf" srcId="{FCAFCF1E-FAD4-47BB-BAE6-8650FDA29D2C}" destId="{E82D12DF-9D17-4FF4-A89B-C2242D9D24A1}" srcOrd="0" destOrd="0" presId="urn:microsoft.com/office/officeart/2005/8/layout/hProcess9"/>
    <dgm:cxn modelId="{149F0518-47F8-40DD-8A03-7A4A0FE6D6A6}" type="presParOf" srcId="{8A7E642C-5BD5-4545-B1F1-E5257061C6BF}" destId="{02A73079-38AE-4B7D-809D-4FC8C6A132EA}" srcOrd="0" destOrd="0" presId="urn:microsoft.com/office/officeart/2005/8/layout/hProcess9"/>
    <dgm:cxn modelId="{21EE0199-045F-440A-8E84-70B81A232F83}" type="presParOf" srcId="{8A7E642C-5BD5-4545-B1F1-E5257061C6BF}" destId="{25131837-EEA3-4EE8-BEED-9AC8DE2C8D36}" srcOrd="1" destOrd="0" presId="urn:microsoft.com/office/officeart/2005/8/layout/hProcess9"/>
    <dgm:cxn modelId="{D2318AD8-B13A-4D6E-81B1-7E8FF8FC1C15}" type="presParOf" srcId="{25131837-EEA3-4EE8-BEED-9AC8DE2C8D36}" destId="{77D671EB-CF6B-4596-B90F-3849E1822D4D}" srcOrd="0" destOrd="0" presId="urn:microsoft.com/office/officeart/2005/8/layout/hProcess9"/>
    <dgm:cxn modelId="{2AEEFDFB-9646-4B39-90B8-A94D36B9F326}" type="presParOf" srcId="{25131837-EEA3-4EE8-BEED-9AC8DE2C8D36}" destId="{0717D504-5DE3-4A35-B1D9-A925537345FE}" srcOrd="1" destOrd="0" presId="urn:microsoft.com/office/officeart/2005/8/layout/hProcess9"/>
    <dgm:cxn modelId="{CA141A6C-9AAA-4BCA-B574-34EEC471503B}" type="presParOf" srcId="{25131837-EEA3-4EE8-BEED-9AC8DE2C8D36}" destId="{E82D12DF-9D17-4FF4-A89B-C2242D9D24A1}" srcOrd="2" destOrd="0" presId="urn:microsoft.com/office/officeart/2005/8/layout/hProcess9"/>
    <dgm:cxn modelId="{D229659D-169C-4B90-8435-B8AE770D585F}" type="presParOf" srcId="{25131837-EEA3-4EE8-BEED-9AC8DE2C8D36}" destId="{A33A0FA6-6656-41FE-B3C0-83C62F7F46D5}" srcOrd="3" destOrd="0" presId="urn:microsoft.com/office/officeart/2005/8/layout/hProcess9"/>
    <dgm:cxn modelId="{B01BA850-2CFA-49D4-A7E0-18E813E376E7}" type="presParOf" srcId="{25131837-EEA3-4EE8-BEED-9AC8DE2C8D36}" destId="{020AE82E-F11B-4088-80A6-178B6EB9620C}" srcOrd="4" destOrd="0" presId="urn:microsoft.com/office/officeart/2005/8/layout/hProcess9"/>
    <dgm:cxn modelId="{291E9864-BB5E-40B9-8B31-DD33E117382C}" type="presParOf" srcId="{25131837-EEA3-4EE8-BEED-9AC8DE2C8D36}" destId="{3950742A-80DA-45DF-A337-9C4CD14E2293}" srcOrd="5" destOrd="0" presId="urn:microsoft.com/office/officeart/2005/8/layout/hProcess9"/>
    <dgm:cxn modelId="{A20D3E07-F8C8-4D79-937E-78044972E310}" type="presParOf" srcId="{25131837-EEA3-4EE8-BEED-9AC8DE2C8D36}" destId="{8F71C5D0-246E-4ECD-BC80-94A04F1B0B8A}" srcOrd="6"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A73079-38AE-4B7D-809D-4FC8C6A132EA}">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7D671EB-CF6B-4596-B90F-3849E1822D4D}">
      <dsp:nvSpPr>
        <dsp:cNvPr id="0" name=""/>
        <dsp:cNvSpPr/>
      </dsp:nvSpPr>
      <dsp:spPr>
        <a:xfrm>
          <a:off x="2745" y="960120"/>
          <a:ext cx="132070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Prevention (addressing known risk factors)</a:t>
          </a:r>
        </a:p>
      </dsp:txBody>
      <dsp:txXfrm>
        <a:off x="65237" y="1022612"/>
        <a:ext cx="1195716" cy="1155176"/>
      </dsp:txXfrm>
    </dsp:sp>
    <dsp:sp modelId="{E82D12DF-9D17-4FF4-A89B-C2242D9D24A1}">
      <dsp:nvSpPr>
        <dsp:cNvPr id="0" name=""/>
        <dsp:cNvSpPr/>
      </dsp:nvSpPr>
      <dsp:spPr>
        <a:xfrm>
          <a:off x="1389481" y="960120"/>
          <a:ext cx="132070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Early intervention (young people at risk of offending)</a:t>
          </a:r>
        </a:p>
      </dsp:txBody>
      <dsp:txXfrm>
        <a:off x="1451973" y="1022612"/>
        <a:ext cx="1195716" cy="1155176"/>
      </dsp:txXfrm>
    </dsp:sp>
    <dsp:sp modelId="{020AE82E-F11B-4088-80A6-178B6EB9620C}">
      <dsp:nvSpPr>
        <dsp:cNvPr id="0" name=""/>
        <dsp:cNvSpPr/>
      </dsp:nvSpPr>
      <dsp:spPr>
        <a:xfrm>
          <a:off x="2776217" y="960120"/>
          <a:ext cx="132070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Diversion (usually for first or second time offenders)</a:t>
          </a:r>
        </a:p>
      </dsp:txBody>
      <dsp:txXfrm>
        <a:off x="2838709" y="1022612"/>
        <a:ext cx="1195716" cy="1155176"/>
      </dsp:txXfrm>
    </dsp:sp>
    <dsp:sp modelId="{8F71C5D0-246E-4ECD-BC80-94A04F1B0B8A}">
      <dsp:nvSpPr>
        <dsp:cNvPr id="0" name=""/>
        <dsp:cNvSpPr/>
      </dsp:nvSpPr>
      <dsp:spPr>
        <a:xfrm>
          <a:off x="4162953" y="960120"/>
          <a:ext cx="1320700" cy="1280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kern="1200"/>
            <a:t>Tertiary intervention (treatment to prevent reoffending)</a:t>
          </a:r>
        </a:p>
      </dsp:txBody>
      <dsp:txXfrm>
        <a:off x="4225445" y="1022612"/>
        <a:ext cx="119571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F0F0-6D6A-41D6-9DB6-20846616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TEM_150518_Submissions Template Accessible-sml</Template>
  <TotalTime>4</TotalTime>
  <Pages>41</Pages>
  <Words>11044</Words>
  <Characters>62951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dc:creator>
  <cp:lastModifiedBy>Carly Nowell</cp:lastModifiedBy>
  <cp:revision>5</cp:revision>
  <cp:lastPrinted>2017-03-08T05:32:00Z</cp:lastPrinted>
  <dcterms:created xsi:type="dcterms:W3CDTF">2017-03-08T03:59:00Z</dcterms:created>
  <dcterms:modified xsi:type="dcterms:W3CDTF">2017-03-08T05:35:00Z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1457739086</vt:i4>
  </property>
</Properties>
</file>