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6" w:rsidRDefault="00B660DA" w:rsidP="00CE5762">
      <w:r>
        <w:rPr>
          <w:noProof/>
          <w:lang w:val="en-AU" w:eastAsia="en-AU"/>
        </w:rPr>
        <w:drawing>
          <wp:anchor distT="0" distB="0" distL="114300" distR="114300" simplePos="0" relativeHeight="251660288" behindDoc="1" locked="0" layoutInCell="1" allowOverlap="1" wp14:anchorId="68AB30ED" wp14:editId="0A80E551">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rsidR="00BE2F83" w:rsidRDefault="00BE2F83" w:rsidP="00CE5762">
      <w:pPr>
        <w:pStyle w:val="Titlecover"/>
      </w:pPr>
      <w:r>
        <mc:AlternateContent>
          <mc:Choice Requires="wps">
            <w:drawing>
              <wp:anchor distT="0" distB="0" distL="114300" distR="114300" simplePos="0" relativeHeight="251659264" behindDoc="0" locked="0" layoutInCell="1" allowOverlap="1" wp14:anchorId="0DEA1983" wp14:editId="68E17C32">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71286" w:rsidRPr="00860016" w:rsidRDefault="00071286" w:rsidP="00CE5762">
                            <w:r w:rsidRPr="00860016">
                              <w:t>Title Goes Here</w:t>
                            </w:r>
                          </w:p>
                          <w:p w:rsidR="00071286" w:rsidRDefault="00071286" w:rsidP="00CE5762">
                            <w:proofErr w:type="gramStart"/>
                            <w:r w:rsidRPr="00860016">
                              <w:t>across</w:t>
                            </w:r>
                            <w:proofErr w:type="gramEnd"/>
                            <w:r w:rsidRPr="00860016">
                              <w:t xml:space="preserve"> two lines</w:t>
                            </w:r>
                          </w:p>
                          <w:p w:rsidR="00071286" w:rsidRPr="00860016" w:rsidRDefault="00071286" w:rsidP="00CE5762">
                            <w:r w:rsidRPr="00860016">
                              <w:t>Subtitle (if required) across</w:t>
                            </w:r>
                          </w:p>
                          <w:p w:rsidR="00071286" w:rsidRPr="00860016" w:rsidRDefault="00071286" w:rsidP="00CE5762">
                            <w:proofErr w:type="gramStart"/>
                            <w:r w:rsidRPr="00860016">
                              <w:t>two</w:t>
                            </w:r>
                            <w:proofErr w:type="gramEnd"/>
                            <w:r w:rsidRPr="00860016">
                              <w:t xml:space="preserve"> lines</w:t>
                            </w:r>
                          </w:p>
                          <w:p w:rsidR="00071286" w:rsidRPr="002142C6" w:rsidRDefault="00071286"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198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rsidR="00071286" w:rsidRPr="00860016" w:rsidRDefault="00071286" w:rsidP="00CE5762">
                      <w:r w:rsidRPr="00860016">
                        <w:t>Title Goes Here</w:t>
                      </w:r>
                    </w:p>
                    <w:p w:rsidR="00071286" w:rsidRDefault="00071286" w:rsidP="00CE5762">
                      <w:proofErr w:type="gramStart"/>
                      <w:r w:rsidRPr="00860016">
                        <w:t>across</w:t>
                      </w:r>
                      <w:proofErr w:type="gramEnd"/>
                      <w:r w:rsidRPr="00860016">
                        <w:t xml:space="preserve"> two lines</w:t>
                      </w:r>
                    </w:p>
                    <w:p w:rsidR="00071286" w:rsidRPr="00860016" w:rsidRDefault="00071286" w:rsidP="00CE5762">
                      <w:r w:rsidRPr="00860016">
                        <w:t>Subtitle (if required) across</w:t>
                      </w:r>
                    </w:p>
                    <w:p w:rsidR="00071286" w:rsidRPr="00860016" w:rsidRDefault="00071286" w:rsidP="00CE5762">
                      <w:proofErr w:type="gramStart"/>
                      <w:r w:rsidRPr="00860016">
                        <w:t>two</w:t>
                      </w:r>
                      <w:proofErr w:type="gramEnd"/>
                      <w:r w:rsidRPr="00860016">
                        <w:t xml:space="preserve"> lines</w:t>
                      </w:r>
                    </w:p>
                    <w:p w:rsidR="00071286" w:rsidRPr="002142C6" w:rsidRDefault="00071286" w:rsidP="00CE5762">
                      <w:r w:rsidRPr="00860016">
                        <w:t>00 Month Year</w:t>
                      </w:r>
                    </w:p>
                  </w:txbxContent>
                </v:textbox>
              </v:shape>
            </w:pict>
          </mc:Fallback>
        </mc:AlternateContent>
      </w:r>
      <w:r w:rsidR="00E0773F">
        <w:t>Fair and equitable access to legal aid</w:t>
      </w:r>
    </w:p>
    <w:p w:rsidR="002142C6" w:rsidRPr="00BE2F83" w:rsidRDefault="008244CE" w:rsidP="00E0773F">
      <w:pPr>
        <w:pStyle w:val="Subtitlecover"/>
      </w:pPr>
      <w:r>
        <w:t>VC</w:t>
      </w:r>
      <w:r w:rsidR="00E0773F">
        <w:t>OSS response to the Victoria Legal Aid Means Test Review Options Paper</w:t>
      </w:r>
    </w:p>
    <w:p w:rsidR="00BE2F83" w:rsidRPr="001607B4" w:rsidRDefault="00E0773F" w:rsidP="00CE5762">
      <w:pPr>
        <w:pStyle w:val="Datecover"/>
      </w:pPr>
      <w:r>
        <w:t>June 2017</w:t>
      </w:r>
    </w:p>
    <w:p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rsidR="001607B4" w:rsidRPr="004C3261" w:rsidRDefault="001607B4" w:rsidP="00CE5762">
      <w:pPr>
        <w:pStyle w:val="Abouthead"/>
      </w:pPr>
      <w:r>
        <w:rPr>
          <w:noProof/>
          <w:lang w:val="en-AU" w:eastAsia="en-AU"/>
        </w:rPr>
        <w:lastRenderedPageBreak/>
        <w:drawing>
          <wp:anchor distT="0" distB="0" distL="114300" distR="114300" simplePos="0" relativeHeight="251662336" behindDoc="1" locked="0" layoutInCell="1" allowOverlap="1" wp14:anchorId="2D66808D" wp14:editId="505E7AC3">
            <wp:simplePos x="0" y="0"/>
            <wp:positionH relativeFrom="page">
              <wp:posOffset>0</wp:posOffset>
            </wp:positionH>
            <wp:positionV relativeFrom="page">
              <wp:posOffset>2903</wp:posOffset>
            </wp:positionV>
            <wp:extent cx="7556500" cy="10687593"/>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7556500" cy="1068759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C3261">
        <w:t>About VCOSS</w:t>
      </w:r>
    </w:p>
    <w:p w:rsidR="00E149EA" w:rsidRPr="001607B4" w:rsidRDefault="00E149EA" w:rsidP="00E149EA">
      <w:pPr>
        <w:pStyle w:val="Abouttext"/>
        <w:spacing w:before="0"/>
        <w:ind w:left="589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B54256">
        <w:rPr>
          <w:sz w:val="12"/>
          <w:szCs w:val="12"/>
        </w:rPr>
        <w:br/>
      </w:r>
      <w:r>
        <w:t xml:space="preserve">This submission was prepared by </w:t>
      </w:r>
      <w:r w:rsidR="00AD4E4B">
        <w:t xml:space="preserve">Emma O’Neill and </w:t>
      </w:r>
      <w:r w:rsidR="00DF352D">
        <w:t>Ché</w:t>
      </w:r>
      <w:r w:rsidR="00E0773F">
        <w:t xml:space="preserve"> Stockley with </w:t>
      </w:r>
      <w:r>
        <w:t>input from VCOSS members.</w:t>
      </w:r>
      <w:r>
        <w:br/>
      </w:r>
      <w:r w:rsidRPr="00B54256">
        <w:rPr>
          <w:sz w:val="12"/>
          <w:szCs w:val="12"/>
        </w:rPr>
        <w:br/>
      </w:r>
      <w:r w:rsidRPr="009B534B">
        <w:rPr>
          <w:b/>
        </w:rPr>
        <w:t>Authorised by:</w:t>
      </w:r>
      <w:r w:rsidRPr="009B534B">
        <w:rPr>
          <w:b/>
        </w:rPr>
        <w:br/>
      </w:r>
      <w:r w:rsidRPr="001607B4">
        <w:t>Emma King, Chief Executive Officer</w:t>
      </w:r>
      <w:r w:rsidRPr="001607B4">
        <w:br/>
        <w:t xml:space="preserve">© Copyright 2015 </w:t>
      </w:r>
      <w:r w:rsidRPr="001607B4">
        <w:br/>
        <w:t>Victorian Council of Social Service</w:t>
      </w:r>
      <w:r>
        <w:br/>
      </w:r>
      <w:r w:rsidRPr="00B54256">
        <w:rPr>
          <w:sz w:val="12"/>
          <w:szCs w:val="12"/>
        </w:rPr>
        <w:br/>
      </w:r>
      <w:r w:rsidRPr="009B534B">
        <w:rPr>
          <w:b/>
        </w:rPr>
        <w:t>Victorian Council of Social Service</w:t>
      </w:r>
      <w:r w:rsidRPr="009B534B">
        <w:rPr>
          <w:b/>
        </w:rPr>
        <w:br/>
      </w:r>
      <w:r w:rsidRPr="001607B4">
        <w:t>Level 8, 128 Exhibition Street</w:t>
      </w:r>
      <w:r w:rsidRPr="001607B4">
        <w:br/>
        <w:t>Melbourne, Victoria, 3000</w:t>
      </w:r>
      <w:r w:rsidRPr="001607B4">
        <w:br/>
        <w:t>+61 3 9235 1000</w:t>
      </w:r>
      <w:r>
        <w:br/>
      </w:r>
      <w:r w:rsidRPr="00B54256">
        <w:rPr>
          <w:sz w:val="12"/>
          <w:szCs w:val="12"/>
        </w:rPr>
        <w:br/>
      </w:r>
      <w:r w:rsidRPr="009B534B">
        <w:rPr>
          <w:b/>
        </w:rPr>
        <w:t>For enquiries:</w:t>
      </w:r>
      <w:r w:rsidRPr="009B534B">
        <w:rPr>
          <w:b/>
        </w:rPr>
        <w:br/>
      </w:r>
      <w:r>
        <w:t>Llewellyn Reynders,</w:t>
      </w:r>
      <w:r w:rsidRPr="00B54256">
        <w:t xml:space="preserve"> </w:t>
      </w:r>
      <w:r w:rsidR="00E0773F">
        <w:t xml:space="preserve">Policy </w:t>
      </w:r>
      <w:r>
        <w:t>Manager</w:t>
      </w:r>
      <w:r w:rsidRPr="001607B4">
        <w:br/>
      </w:r>
      <w:r w:rsidR="00255416">
        <w:t>policy</w:t>
      </w:r>
      <w:r w:rsidRPr="001607B4">
        <w:t>@vcoss.org.au</w:t>
      </w:r>
    </w:p>
    <w:p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rsidR="00BF4B30" w:rsidRDefault="00BF4B30" w:rsidP="00344D64">
          <w:pPr>
            <w:pStyle w:val="TOCHeading"/>
            <w:spacing w:after="400"/>
          </w:pPr>
          <w:r>
            <w:t>Contents</w:t>
          </w:r>
        </w:p>
        <w:p w:rsidR="00071286"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bookmarkStart w:id="0" w:name="_GoBack"/>
          <w:bookmarkEnd w:id="0"/>
          <w:r w:rsidR="00071286" w:rsidRPr="00570074">
            <w:rPr>
              <w:rStyle w:val="Hyperlink"/>
              <w:noProof/>
            </w:rPr>
            <w:fldChar w:fldCharType="begin"/>
          </w:r>
          <w:r w:rsidR="00071286" w:rsidRPr="00570074">
            <w:rPr>
              <w:rStyle w:val="Hyperlink"/>
              <w:noProof/>
            </w:rPr>
            <w:instrText xml:space="preserve"> </w:instrText>
          </w:r>
          <w:r w:rsidR="00071286">
            <w:rPr>
              <w:noProof/>
            </w:rPr>
            <w:instrText>HYPERLINK \l "_Toc486257344"</w:instrText>
          </w:r>
          <w:r w:rsidR="00071286" w:rsidRPr="00570074">
            <w:rPr>
              <w:rStyle w:val="Hyperlink"/>
              <w:noProof/>
            </w:rPr>
            <w:instrText xml:space="preserve"> </w:instrText>
          </w:r>
          <w:r w:rsidR="00071286" w:rsidRPr="00570074">
            <w:rPr>
              <w:rStyle w:val="Hyperlink"/>
              <w:noProof/>
            </w:rPr>
          </w:r>
          <w:r w:rsidR="00071286" w:rsidRPr="00570074">
            <w:rPr>
              <w:rStyle w:val="Hyperlink"/>
              <w:noProof/>
            </w:rPr>
            <w:fldChar w:fldCharType="separate"/>
          </w:r>
          <w:r w:rsidR="00071286" w:rsidRPr="00570074">
            <w:rPr>
              <w:rStyle w:val="Hyperlink"/>
              <w:noProof/>
            </w:rPr>
            <w:t>Introduction</w:t>
          </w:r>
          <w:r w:rsidR="00071286">
            <w:rPr>
              <w:noProof/>
              <w:webHidden/>
            </w:rPr>
            <w:tab/>
          </w:r>
          <w:r w:rsidR="00071286">
            <w:rPr>
              <w:noProof/>
              <w:webHidden/>
            </w:rPr>
            <w:fldChar w:fldCharType="begin"/>
          </w:r>
          <w:r w:rsidR="00071286">
            <w:rPr>
              <w:noProof/>
              <w:webHidden/>
            </w:rPr>
            <w:instrText xml:space="preserve"> PAGEREF _Toc486257344 \h </w:instrText>
          </w:r>
          <w:r w:rsidR="00071286">
            <w:rPr>
              <w:noProof/>
              <w:webHidden/>
            </w:rPr>
          </w:r>
          <w:r w:rsidR="00071286">
            <w:rPr>
              <w:noProof/>
              <w:webHidden/>
            </w:rPr>
            <w:fldChar w:fldCharType="separate"/>
          </w:r>
          <w:r w:rsidR="00071286">
            <w:rPr>
              <w:noProof/>
              <w:webHidden/>
            </w:rPr>
            <w:t>2</w:t>
          </w:r>
          <w:r w:rsidR="00071286">
            <w:rPr>
              <w:noProof/>
              <w:webHidden/>
            </w:rPr>
            <w:fldChar w:fldCharType="end"/>
          </w:r>
          <w:r w:rsidR="00071286" w:rsidRPr="00570074">
            <w:rPr>
              <w:rStyle w:val="Hyperlink"/>
              <w:noProof/>
            </w:rPr>
            <w:fldChar w:fldCharType="end"/>
          </w:r>
        </w:p>
        <w:p w:rsidR="00071286" w:rsidRDefault="00071286">
          <w:pPr>
            <w:pStyle w:val="TOC1"/>
            <w:tabs>
              <w:tab w:val="right" w:leader="dot" w:pos="9622"/>
            </w:tabs>
            <w:rPr>
              <w:rFonts w:asciiTheme="minorHAnsi" w:hAnsiTheme="minorHAnsi" w:cstheme="minorBidi"/>
              <w:noProof/>
              <w:szCs w:val="22"/>
              <w:lang w:val="en-AU" w:eastAsia="en-AU"/>
            </w:rPr>
          </w:pPr>
          <w:hyperlink w:anchor="_Toc486257345" w:history="1">
            <w:r w:rsidRPr="00570074">
              <w:rPr>
                <w:rStyle w:val="Hyperlink"/>
                <w:noProof/>
              </w:rPr>
              <w:t>Modernise the income test</w:t>
            </w:r>
            <w:r>
              <w:rPr>
                <w:noProof/>
                <w:webHidden/>
              </w:rPr>
              <w:tab/>
            </w:r>
            <w:r>
              <w:rPr>
                <w:noProof/>
                <w:webHidden/>
              </w:rPr>
              <w:fldChar w:fldCharType="begin"/>
            </w:r>
            <w:r>
              <w:rPr>
                <w:noProof/>
                <w:webHidden/>
              </w:rPr>
              <w:instrText xml:space="preserve"> PAGEREF _Toc486257345 \h </w:instrText>
            </w:r>
            <w:r>
              <w:rPr>
                <w:noProof/>
                <w:webHidden/>
              </w:rPr>
            </w:r>
            <w:r>
              <w:rPr>
                <w:noProof/>
                <w:webHidden/>
              </w:rPr>
              <w:fldChar w:fldCharType="separate"/>
            </w:r>
            <w:r>
              <w:rPr>
                <w:noProof/>
                <w:webHidden/>
              </w:rPr>
              <w:t>4</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46" w:history="1">
            <w:r w:rsidRPr="00570074">
              <w:rPr>
                <w:rStyle w:val="Hyperlink"/>
                <w:noProof/>
              </w:rPr>
              <w:t>Exempt vulnerable people from providing documentary proof of means</w:t>
            </w:r>
            <w:r>
              <w:rPr>
                <w:noProof/>
                <w:webHidden/>
              </w:rPr>
              <w:tab/>
            </w:r>
            <w:r>
              <w:rPr>
                <w:noProof/>
                <w:webHidden/>
              </w:rPr>
              <w:fldChar w:fldCharType="begin"/>
            </w:r>
            <w:r>
              <w:rPr>
                <w:noProof/>
                <w:webHidden/>
              </w:rPr>
              <w:instrText xml:space="preserve"> PAGEREF _Toc486257346 \h </w:instrText>
            </w:r>
            <w:r>
              <w:rPr>
                <w:noProof/>
                <w:webHidden/>
              </w:rPr>
            </w:r>
            <w:r>
              <w:rPr>
                <w:noProof/>
                <w:webHidden/>
              </w:rPr>
              <w:fldChar w:fldCharType="separate"/>
            </w:r>
            <w:r>
              <w:rPr>
                <w:noProof/>
                <w:webHidden/>
              </w:rPr>
              <w:t>5</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47" w:history="1">
            <w:r w:rsidRPr="00570074">
              <w:rPr>
                <w:rStyle w:val="Hyperlink"/>
                <w:noProof/>
              </w:rPr>
              <w:t>Fairly assess the incomes of people with irregular work</w:t>
            </w:r>
            <w:r>
              <w:rPr>
                <w:noProof/>
                <w:webHidden/>
              </w:rPr>
              <w:tab/>
            </w:r>
            <w:r>
              <w:rPr>
                <w:noProof/>
                <w:webHidden/>
              </w:rPr>
              <w:fldChar w:fldCharType="begin"/>
            </w:r>
            <w:r>
              <w:rPr>
                <w:noProof/>
                <w:webHidden/>
              </w:rPr>
              <w:instrText xml:space="preserve"> PAGEREF _Toc486257347 \h </w:instrText>
            </w:r>
            <w:r>
              <w:rPr>
                <w:noProof/>
                <w:webHidden/>
              </w:rPr>
            </w:r>
            <w:r>
              <w:rPr>
                <w:noProof/>
                <w:webHidden/>
              </w:rPr>
              <w:fldChar w:fldCharType="separate"/>
            </w:r>
            <w:r>
              <w:rPr>
                <w:noProof/>
                <w:webHidden/>
              </w:rPr>
              <w:t>5</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48" w:history="1">
            <w:r w:rsidRPr="00570074">
              <w:rPr>
                <w:rStyle w:val="Hyperlink"/>
                <w:noProof/>
              </w:rPr>
              <w:t>Use an appropriate measure of low incomes</w:t>
            </w:r>
            <w:r>
              <w:rPr>
                <w:noProof/>
                <w:webHidden/>
              </w:rPr>
              <w:tab/>
            </w:r>
            <w:r>
              <w:rPr>
                <w:noProof/>
                <w:webHidden/>
              </w:rPr>
              <w:fldChar w:fldCharType="begin"/>
            </w:r>
            <w:r>
              <w:rPr>
                <w:noProof/>
                <w:webHidden/>
              </w:rPr>
              <w:instrText xml:space="preserve"> PAGEREF _Toc486257348 \h </w:instrText>
            </w:r>
            <w:r>
              <w:rPr>
                <w:noProof/>
                <w:webHidden/>
              </w:rPr>
            </w:r>
            <w:r>
              <w:rPr>
                <w:noProof/>
                <w:webHidden/>
              </w:rPr>
              <w:fldChar w:fldCharType="separate"/>
            </w:r>
            <w:r>
              <w:rPr>
                <w:noProof/>
                <w:webHidden/>
              </w:rPr>
              <w:t>5</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49" w:history="1">
            <w:r w:rsidRPr="00570074">
              <w:rPr>
                <w:rStyle w:val="Hyperlink"/>
                <w:noProof/>
              </w:rPr>
              <w:t>Increase the range and value of living cost deductions</w:t>
            </w:r>
            <w:r>
              <w:rPr>
                <w:noProof/>
                <w:webHidden/>
              </w:rPr>
              <w:tab/>
            </w:r>
            <w:r>
              <w:rPr>
                <w:noProof/>
                <w:webHidden/>
              </w:rPr>
              <w:fldChar w:fldCharType="begin"/>
            </w:r>
            <w:r>
              <w:rPr>
                <w:noProof/>
                <w:webHidden/>
              </w:rPr>
              <w:instrText xml:space="preserve"> PAGEREF _Toc486257349 \h </w:instrText>
            </w:r>
            <w:r>
              <w:rPr>
                <w:noProof/>
                <w:webHidden/>
              </w:rPr>
            </w:r>
            <w:r>
              <w:rPr>
                <w:noProof/>
                <w:webHidden/>
              </w:rPr>
              <w:fldChar w:fldCharType="separate"/>
            </w:r>
            <w:r>
              <w:rPr>
                <w:noProof/>
                <w:webHidden/>
              </w:rPr>
              <w:t>7</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0" w:history="1">
            <w:r w:rsidRPr="00570074">
              <w:rPr>
                <w:rStyle w:val="Hyperlink"/>
                <w:noProof/>
              </w:rPr>
              <w:t>Expand the meaning of ‘dependant’ and increase the dependant allowance</w:t>
            </w:r>
            <w:r>
              <w:rPr>
                <w:noProof/>
                <w:webHidden/>
              </w:rPr>
              <w:tab/>
            </w:r>
            <w:r>
              <w:rPr>
                <w:noProof/>
                <w:webHidden/>
              </w:rPr>
              <w:fldChar w:fldCharType="begin"/>
            </w:r>
            <w:r>
              <w:rPr>
                <w:noProof/>
                <w:webHidden/>
              </w:rPr>
              <w:instrText xml:space="preserve"> PAGEREF _Toc486257350 \h </w:instrText>
            </w:r>
            <w:r>
              <w:rPr>
                <w:noProof/>
                <w:webHidden/>
              </w:rPr>
            </w:r>
            <w:r>
              <w:rPr>
                <w:noProof/>
                <w:webHidden/>
              </w:rPr>
              <w:fldChar w:fldCharType="separate"/>
            </w:r>
            <w:r>
              <w:rPr>
                <w:noProof/>
                <w:webHidden/>
              </w:rPr>
              <w:t>8</w:t>
            </w:r>
            <w:r>
              <w:rPr>
                <w:noProof/>
                <w:webHidden/>
              </w:rPr>
              <w:fldChar w:fldCharType="end"/>
            </w:r>
          </w:hyperlink>
        </w:p>
        <w:p w:rsidR="00071286" w:rsidRDefault="00071286">
          <w:pPr>
            <w:pStyle w:val="TOC1"/>
            <w:tabs>
              <w:tab w:val="right" w:leader="dot" w:pos="9622"/>
            </w:tabs>
            <w:rPr>
              <w:rFonts w:asciiTheme="minorHAnsi" w:hAnsiTheme="minorHAnsi" w:cstheme="minorBidi"/>
              <w:noProof/>
              <w:szCs w:val="22"/>
              <w:lang w:val="en-AU" w:eastAsia="en-AU"/>
            </w:rPr>
          </w:pPr>
          <w:hyperlink w:anchor="_Toc486257351" w:history="1">
            <w:r w:rsidRPr="00570074">
              <w:rPr>
                <w:rStyle w:val="Hyperlink"/>
                <w:noProof/>
              </w:rPr>
              <w:t>Create a fairer assets test</w:t>
            </w:r>
            <w:r>
              <w:rPr>
                <w:noProof/>
                <w:webHidden/>
              </w:rPr>
              <w:tab/>
            </w:r>
            <w:r>
              <w:rPr>
                <w:noProof/>
                <w:webHidden/>
              </w:rPr>
              <w:fldChar w:fldCharType="begin"/>
            </w:r>
            <w:r>
              <w:rPr>
                <w:noProof/>
                <w:webHidden/>
              </w:rPr>
              <w:instrText xml:space="preserve"> PAGEREF _Toc486257351 \h </w:instrText>
            </w:r>
            <w:r>
              <w:rPr>
                <w:noProof/>
                <w:webHidden/>
              </w:rPr>
            </w:r>
            <w:r>
              <w:rPr>
                <w:noProof/>
                <w:webHidden/>
              </w:rPr>
              <w:fldChar w:fldCharType="separate"/>
            </w:r>
            <w:r>
              <w:rPr>
                <w:noProof/>
                <w:webHidden/>
              </w:rPr>
              <w:t>9</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2" w:history="1">
            <w:r w:rsidRPr="00570074">
              <w:rPr>
                <w:rStyle w:val="Hyperlink"/>
                <w:noProof/>
              </w:rPr>
              <w:t>Treat tenants fairly and promote financial buffers</w:t>
            </w:r>
            <w:r>
              <w:rPr>
                <w:noProof/>
                <w:webHidden/>
              </w:rPr>
              <w:tab/>
            </w:r>
            <w:r>
              <w:rPr>
                <w:noProof/>
                <w:webHidden/>
              </w:rPr>
              <w:fldChar w:fldCharType="begin"/>
            </w:r>
            <w:r>
              <w:rPr>
                <w:noProof/>
                <w:webHidden/>
              </w:rPr>
              <w:instrText xml:space="preserve"> PAGEREF _Toc486257352 \h </w:instrText>
            </w:r>
            <w:r>
              <w:rPr>
                <w:noProof/>
                <w:webHidden/>
              </w:rPr>
            </w:r>
            <w:r>
              <w:rPr>
                <w:noProof/>
                <w:webHidden/>
              </w:rPr>
              <w:fldChar w:fldCharType="separate"/>
            </w:r>
            <w:r>
              <w:rPr>
                <w:noProof/>
                <w:webHidden/>
              </w:rPr>
              <w:t>9</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3" w:history="1">
            <w:r w:rsidRPr="00570074">
              <w:rPr>
                <w:rStyle w:val="Hyperlink"/>
                <w:noProof/>
              </w:rPr>
              <w:t>Treatment of superannuation</w:t>
            </w:r>
            <w:r>
              <w:rPr>
                <w:noProof/>
                <w:webHidden/>
              </w:rPr>
              <w:tab/>
            </w:r>
            <w:r>
              <w:rPr>
                <w:noProof/>
                <w:webHidden/>
              </w:rPr>
              <w:fldChar w:fldCharType="begin"/>
            </w:r>
            <w:r>
              <w:rPr>
                <w:noProof/>
                <w:webHidden/>
              </w:rPr>
              <w:instrText xml:space="preserve"> PAGEREF _Toc486257353 \h </w:instrText>
            </w:r>
            <w:r>
              <w:rPr>
                <w:noProof/>
                <w:webHidden/>
              </w:rPr>
            </w:r>
            <w:r>
              <w:rPr>
                <w:noProof/>
                <w:webHidden/>
              </w:rPr>
              <w:fldChar w:fldCharType="separate"/>
            </w:r>
            <w:r>
              <w:rPr>
                <w:noProof/>
                <w:webHidden/>
              </w:rPr>
              <w:t>10</w:t>
            </w:r>
            <w:r>
              <w:rPr>
                <w:noProof/>
                <w:webHidden/>
              </w:rPr>
              <w:fldChar w:fldCharType="end"/>
            </w:r>
          </w:hyperlink>
        </w:p>
        <w:p w:rsidR="00071286" w:rsidRDefault="00071286">
          <w:pPr>
            <w:pStyle w:val="TOC1"/>
            <w:tabs>
              <w:tab w:val="right" w:leader="dot" w:pos="9622"/>
            </w:tabs>
            <w:rPr>
              <w:rFonts w:asciiTheme="minorHAnsi" w:hAnsiTheme="minorHAnsi" w:cstheme="minorBidi"/>
              <w:noProof/>
              <w:szCs w:val="22"/>
              <w:lang w:val="en-AU" w:eastAsia="en-AU"/>
            </w:rPr>
          </w:pPr>
          <w:hyperlink w:anchor="_Toc486257354" w:history="1">
            <w:r w:rsidRPr="00570074">
              <w:rPr>
                <w:rStyle w:val="Hyperlink"/>
                <w:noProof/>
              </w:rPr>
              <w:t>Narrow the definition of ‘financially associated persons’</w:t>
            </w:r>
            <w:r>
              <w:rPr>
                <w:noProof/>
                <w:webHidden/>
              </w:rPr>
              <w:tab/>
            </w:r>
            <w:r>
              <w:rPr>
                <w:noProof/>
                <w:webHidden/>
              </w:rPr>
              <w:fldChar w:fldCharType="begin"/>
            </w:r>
            <w:r>
              <w:rPr>
                <w:noProof/>
                <w:webHidden/>
              </w:rPr>
              <w:instrText xml:space="preserve"> PAGEREF _Toc486257354 \h </w:instrText>
            </w:r>
            <w:r>
              <w:rPr>
                <w:noProof/>
                <w:webHidden/>
              </w:rPr>
            </w:r>
            <w:r>
              <w:rPr>
                <w:noProof/>
                <w:webHidden/>
              </w:rPr>
              <w:fldChar w:fldCharType="separate"/>
            </w:r>
            <w:r>
              <w:rPr>
                <w:noProof/>
                <w:webHidden/>
              </w:rPr>
              <w:t>11</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5" w:history="1">
            <w:r w:rsidRPr="00570074">
              <w:rPr>
                <w:rStyle w:val="Hyperlink"/>
                <w:noProof/>
              </w:rPr>
              <w:t>Other reforms to improve fairness</w:t>
            </w:r>
            <w:r>
              <w:rPr>
                <w:noProof/>
                <w:webHidden/>
              </w:rPr>
              <w:tab/>
            </w:r>
            <w:r>
              <w:rPr>
                <w:noProof/>
                <w:webHidden/>
              </w:rPr>
              <w:fldChar w:fldCharType="begin"/>
            </w:r>
            <w:r>
              <w:rPr>
                <w:noProof/>
                <w:webHidden/>
              </w:rPr>
              <w:instrText xml:space="preserve"> PAGEREF _Toc486257355 \h </w:instrText>
            </w:r>
            <w:r>
              <w:rPr>
                <w:noProof/>
                <w:webHidden/>
              </w:rPr>
            </w:r>
            <w:r>
              <w:rPr>
                <w:noProof/>
                <w:webHidden/>
              </w:rPr>
              <w:fldChar w:fldCharType="separate"/>
            </w:r>
            <w:r>
              <w:rPr>
                <w:noProof/>
                <w:webHidden/>
              </w:rPr>
              <w:t>12</w:t>
            </w:r>
            <w:r>
              <w:rPr>
                <w:noProof/>
                <w:webHidden/>
              </w:rPr>
              <w:fldChar w:fldCharType="end"/>
            </w:r>
          </w:hyperlink>
        </w:p>
        <w:p w:rsidR="00071286" w:rsidRDefault="00071286">
          <w:pPr>
            <w:pStyle w:val="TOC1"/>
            <w:tabs>
              <w:tab w:val="right" w:leader="dot" w:pos="9622"/>
            </w:tabs>
            <w:rPr>
              <w:rFonts w:asciiTheme="minorHAnsi" w:hAnsiTheme="minorHAnsi" w:cstheme="minorBidi"/>
              <w:noProof/>
              <w:szCs w:val="22"/>
              <w:lang w:val="en-AU" w:eastAsia="en-AU"/>
            </w:rPr>
          </w:pPr>
          <w:hyperlink w:anchor="_Toc486257356" w:history="1">
            <w:r w:rsidRPr="00570074">
              <w:rPr>
                <w:rStyle w:val="Hyperlink"/>
                <w:noProof/>
              </w:rPr>
              <w:t>Make the contributions policy fairer</w:t>
            </w:r>
            <w:r>
              <w:rPr>
                <w:noProof/>
                <w:webHidden/>
              </w:rPr>
              <w:tab/>
            </w:r>
            <w:r>
              <w:rPr>
                <w:noProof/>
                <w:webHidden/>
              </w:rPr>
              <w:fldChar w:fldCharType="begin"/>
            </w:r>
            <w:r>
              <w:rPr>
                <w:noProof/>
                <w:webHidden/>
              </w:rPr>
              <w:instrText xml:space="preserve"> PAGEREF _Toc486257356 \h </w:instrText>
            </w:r>
            <w:r>
              <w:rPr>
                <w:noProof/>
                <w:webHidden/>
              </w:rPr>
            </w:r>
            <w:r>
              <w:rPr>
                <w:noProof/>
                <w:webHidden/>
              </w:rPr>
              <w:fldChar w:fldCharType="separate"/>
            </w:r>
            <w:r>
              <w:rPr>
                <w:noProof/>
                <w:webHidden/>
              </w:rPr>
              <w:t>13</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7" w:history="1">
            <w:r w:rsidRPr="00570074">
              <w:rPr>
                <w:rStyle w:val="Hyperlink"/>
                <w:noProof/>
              </w:rPr>
              <w:t>Widen the contributions policy</w:t>
            </w:r>
            <w:r>
              <w:rPr>
                <w:noProof/>
                <w:webHidden/>
              </w:rPr>
              <w:tab/>
            </w:r>
            <w:r>
              <w:rPr>
                <w:noProof/>
                <w:webHidden/>
              </w:rPr>
              <w:fldChar w:fldCharType="begin"/>
            </w:r>
            <w:r>
              <w:rPr>
                <w:noProof/>
                <w:webHidden/>
              </w:rPr>
              <w:instrText xml:space="preserve"> PAGEREF _Toc486257357 \h </w:instrText>
            </w:r>
            <w:r>
              <w:rPr>
                <w:noProof/>
                <w:webHidden/>
              </w:rPr>
            </w:r>
            <w:r>
              <w:rPr>
                <w:noProof/>
                <w:webHidden/>
              </w:rPr>
              <w:fldChar w:fldCharType="separate"/>
            </w:r>
            <w:r>
              <w:rPr>
                <w:noProof/>
                <w:webHidden/>
              </w:rPr>
              <w:t>13</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8" w:history="1">
            <w:r w:rsidRPr="00570074">
              <w:rPr>
                <w:rStyle w:val="Hyperlink"/>
                <w:noProof/>
              </w:rPr>
              <w:t>Raise the income and asset threshold</w:t>
            </w:r>
            <w:r>
              <w:rPr>
                <w:noProof/>
                <w:webHidden/>
              </w:rPr>
              <w:tab/>
            </w:r>
            <w:r>
              <w:rPr>
                <w:noProof/>
                <w:webHidden/>
              </w:rPr>
              <w:fldChar w:fldCharType="begin"/>
            </w:r>
            <w:r>
              <w:rPr>
                <w:noProof/>
                <w:webHidden/>
              </w:rPr>
              <w:instrText xml:space="preserve"> PAGEREF _Toc486257358 \h </w:instrText>
            </w:r>
            <w:r>
              <w:rPr>
                <w:noProof/>
                <w:webHidden/>
              </w:rPr>
            </w:r>
            <w:r>
              <w:rPr>
                <w:noProof/>
                <w:webHidden/>
              </w:rPr>
              <w:fldChar w:fldCharType="separate"/>
            </w:r>
            <w:r>
              <w:rPr>
                <w:noProof/>
                <w:webHidden/>
              </w:rPr>
              <w:t>13</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59" w:history="1">
            <w:r w:rsidRPr="00570074">
              <w:rPr>
                <w:rStyle w:val="Hyperlink"/>
                <w:noProof/>
              </w:rPr>
              <w:t>Make the repayments scheme for asset contributions fairer</w:t>
            </w:r>
            <w:r>
              <w:rPr>
                <w:noProof/>
                <w:webHidden/>
              </w:rPr>
              <w:tab/>
            </w:r>
            <w:r>
              <w:rPr>
                <w:noProof/>
                <w:webHidden/>
              </w:rPr>
              <w:fldChar w:fldCharType="begin"/>
            </w:r>
            <w:r>
              <w:rPr>
                <w:noProof/>
                <w:webHidden/>
              </w:rPr>
              <w:instrText xml:space="preserve"> PAGEREF _Toc486257359 \h </w:instrText>
            </w:r>
            <w:r>
              <w:rPr>
                <w:noProof/>
                <w:webHidden/>
              </w:rPr>
            </w:r>
            <w:r>
              <w:rPr>
                <w:noProof/>
                <w:webHidden/>
              </w:rPr>
              <w:fldChar w:fldCharType="separate"/>
            </w:r>
            <w:r>
              <w:rPr>
                <w:noProof/>
                <w:webHidden/>
              </w:rPr>
              <w:t>14</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0" w:history="1">
            <w:r w:rsidRPr="00570074">
              <w:rPr>
                <w:rStyle w:val="Hyperlink"/>
                <w:noProof/>
              </w:rPr>
              <w:t>Fix the rate of contribution repayments</w:t>
            </w:r>
            <w:r>
              <w:rPr>
                <w:noProof/>
                <w:webHidden/>
              </w:rPr>
              <w:tab/>
            </w:r>
            <w:r>
              <w:rPr>
                <w:noProof/>
                <w:webHidden/>
              </w:rPr>
              <w:fldChar w:fldCharType="begin"/>
            </w:r>
            <w:r>
              <w:rPr>
                <w:noProof/>
                <w:webHidden/>
              </w:rPr>
              <w:instrText xml:space="preserve"> PAGEREF _Toc486257360 \h </w:instrText>
            </w:r>
            <w:r>
              <w:rPr>
                <w:noProof/>
                <w:webHidden/>
              </w:rPr>
            </w:r>
            <w:r>
              <w:rPr>
                <w:noProof/>
                <w:webHidden/>
              </w:rPr>
              <w:fldChar w:fldCharType="separate"/>
            </w:r>
            <w:r>
              <w:rPr>
                <w:noProof/>
                <w:webHidden/>
              </w:rPr>
              <w:t>14</w:t>
            </w:r>
            <w:r>
              <w:rPr>
                <w:noProof/>
                <w:webHidden/>
              </w:rPr>
              <w:fldChar w:fldCharType="end"/>
            </w:r>
          </w:hyperlink>
        </w:p>
        <w:p w:rsidR="00071286" w:rsidRDefault="00071286">
          <w:pPr>
            <w:pStyle w:val="TOC1"/>
            <w:tabs>
              <w:tab w:val="right" w:leader="dot" w:pos="9622"/>
            </w:tabs>
            <w:rPr>
              <w:rFonts w:asciiTheme="minorHAnsi" w:hAnsiTheme="minorHAnsi" w:cstheme="minorBidi"/>
              <w:noProof/>
              <w:szCs w:val="22"/>
              <w:lang w:val="en-AU" w:eastAsia="en-AU"/>
            </w:rPr>
          </w:pPr>
          <w:hyperlink w:anchor="_Toc486257361" w:history="1">
            <w:r w:rsidRPr="00570074">
              <w:rPr>
                <w:rStyle w:val="Hyperlink"/>
                <w:noProof/>
              </w:rPr>
              <w:t>Establish clear exemptions</w:t>
            </w:r>
            <w:r>
              <w:rPr>
                <w:noProof/>
                <w:webHidden/>
              </w:rPr>
              <w:tab/>
            </w:r>
            <w:r>
              <w:rPr>
                <w:noProof/>
                <w:webHidden/>
              </w:rPr>
              <w:fldChar w:fldCharType="begin"/>
            </w:r>
            <w:r>
              <w:rPr>
                <w:noProof/>
                <w:webHidden/>
              </w:rPr>
              <w:instrText xml:space="preserve"> PAGEREF _Toc486257361 \h </w:instrText>
            </w:r>
            <w:r>
              <w:rPr>
                <w:noProof/>
                <w:webHidden/>
              </w:rPr>
            </w:r>
            <w:r>
              <w:rPr>
                <w:noProof/>
                <w:webHidden/>
              </w:rPr>
              <w:fldChar w:fldCharType="separate"/>
            </w:r>
            <w:r>
              <w:rPr>
                <w:noProof/>
                <w:webHidden/>
              </w:rPr>
              <w:t>15</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2" w:history="1">
            <w:r w:rsidRPr="00570074">
              <w:rPr>
                <w:rStyle w:val="Hyperlink"/>
                <w:noProof/>
              </w:rPr>
              <w:t>Exempt certain groups of people</w:t>
            </w:r>
            <w:r>
              <w:rPr>
                <w:noProof/>
                <w:webHidden/>
              </w:rPr>
              <w:tab/>
            </w:r>
            <w:r>
              <w:rPr>
                <w:noProof/>
                <w:webHidden/>
              </w:rPr>
              <w:fldChar w:fldCharType="begin"/>
            </w:r>
            <w:r>
              <w:rPr>
                <w:noProof/>
                <w:webHidden/>
              </w:rPr>
              <w:instrText xml:space="preserve"> PAGEREF _Toc486257362 \h </w:instrText>
            </w:r>
            <w:r>
              <w:rPr>
                <w:noProof/>
                <w:webHidden/>
              </w:rPr>
            </w:r>
            <w:r>
              <w:rPr>
                <w:noProof/>
                <w:webHidden/>
              </w:rPr>
              <w:fldChar w:fldCharType="separate"/>
            </w:r>
            <w:r>
              <w:rPr>
                <w:noProof/>
                <w:webHidden/>
              </w:rPr>
              <w:t>15</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3" w:history="1">
            <w:r w:rsidRPr="00570074">
              <w:rPr>
                <w:rStyle w:val="Hyperlink"/>
                <w:noProof/>
              </w:rPr>
              <w:t>Exempt (or cap contributions on) certain legal matters</w:t>
            </w:r>
            <w:r>
              <w:rPr>
                <w:noProof/>
                <w:webHidden/>
              </w:rPr>
              <w:tab/>
            </w:r>
            <w:r>
              <w:rPr>
                <w:noProof/>
                <w:webHidden/>
              </w:rPr>
              <w:fldChar w:fldCharType="begin"/>
            </w:r>
            <w:r>
              <w:rPr>
                <w:noProof/>
                <w:webHidden/>
              </w:rPr>
              <w:instrText xml:space="preserve"> PAGEREF _Toc486257363 \h </w:instrText>
            </w:r>
            <w:r>
              <w:rPr>
                <w:noProof/>
                <w:webHidden/>
              </w:rPr>
            </w:r>
            <w:r>
              <w:rPr>
                <w:noProof/>
                <w:webHidden/>
              </w:rPr>
              <w:fldChar w:fldCharType="separate"/>
            </w:r>
            <w:r>
              <w:rPr>
                <w:noProof/>
                <w:webHidden/>
              </w:rPr>
              <w:t>15</w:t>
            </w:r>
            <w:r>
              <w:rPr>
                <w:noProof/>
                <w:webHidden/>
              </w:rPr>
              <w:fldChar w:fldCharType="end"/>
            </w:r>
          </w:hyperlink>
        </w:p>
        <w:p w:rsidR="00071286" w:rsidRDefault="00071286">
          <w:pPr>
            <w:pStyle w:val="TOC1"/>
            <w:tabs>
              <w:tab w:val="right" w:leader="dot" w:pos="9622"/>
            </w:tabs>
            <w:rPr>
              <w:rFonts w:asciiTheme="minorHAnsi" w:hAnsiTheme="minorHAnsi" w:cstheme="minorBidi"/>
              <w:noProof/>
              <w:szCs w:val="22"/>
              <w:lang w:val="en-AU" w:eastAsia="en-AU"/>
            </w:rPr>
          </w:pPr>
          <w:hyperlink w:anchor="_Toc486257364" w:history="1">
            <w:r w:rsidRPr="00570074">
              <w:rPr>
                <w:rStyle w:val="Hyperlink"/>
                <w:noProof/>
              </w:rPr>
              <w:t>Improve access to information</w:t>
            </w:r>
            <w:r>
              <w:rPr>
                <w:noProof/>
                <w:webHidden/>
              </w:rPr>
              <w:tab/>
            </w:r>
            <w:r>
              <w:rPr>
                <w:noProof/>
                <w:webHidden/>
              </w:rPr>
              <w:fldChar w:fldCharType="begin"/>
            </w:r>
            <w:r>
              <w:rPr>
                <w:noProof/>
                <w:webHidden/>
              </w:rPr>
              <w:instrText xml:space="preserve"> PAGEREF _Toc486257364 \h </w:instrText>
            </w:r>
            <w:r>
              <w:rPr>
                <w:noProof/>
                <w:webHidden/>
              </w:rPr>
            </w:r>
            <w:r>
              <w:rPr>
                <w:noProof/>
                <w:webHidden/>
              </w:rPr>
              <w:fldChar w:fldCharType="separate"/>
            </w:r>
            <w:r>
              <w:rPr>
                <w:noProof/>
                <w:webHidden/>
              </w:rPr>
              <w:t>17</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5" w:history="1">
            <w:r w:rsidRPr="00570074">
              <w:rPr>
                <w:rStyle w:val="Hyperlink"/>
                <w:noProof/>
              </w:rPr>
              <w:t>Partner with the community sector</w:t>
            </w:r>
            <w:r>
              <w:rPr>
                <w:noProof/>
                <w:webHidden/>
              </w:rPr>
              <w:tab/>
            </w:r>
            <w:r>
              <w:rPr>
                <w:noProof/>
                <w:webHidden/>
              </w:rPr>
              <w:fldChar w:fldCharType="begin"/>
            </w:r>
            <w:r>
              <w:rPr>
                <w:noProof/>
                <w:webHidden/>
              </w:rPr>
              <w:instrText xml:space="preserve"> PAGEREF _Toc486257365 \h </w:instrText>
            </w:r>
            <w:r>
              <w:rPr>
                <w:noProof/>
                <w:webHidden/>
              </w:rPr>
            </w:r>
            <w:r>
              <w:rPr>
                <w:noProof/>
                <w:webHidden/>
              </w:rPr>
              <w:fldChar w:fldCharType="separate"/>
            </w:r>
            <w:r>
              <w:rPr>
                <w:noProof/>
                <w:webHidden/>
              </w:rPr>
              <w:t>17</w:t>
            </w:r>
            <w:r>
              <w:rPr>
                <w:noProof/>
                <w:webHidden/>
              </w:rPr>
              <w:fldChar w:fldCharType="end"/>
            </w:r>
          </w:hyperlink>
        </w:p>
        <w:p w:rsidR="00071286" w:rsidRDefault="00071286">
          <w:pPr>
            <w:pStyle w:val="TOC1"/>
            <w:tabs>
              <w:tab w:val="right" w:leader="dot" w:pos="9622"/>
            </w:tabs>
            <w:rPr>
              <w:rFonts w:asciiTheme="minorHAnsi" w:hAnsiTheme="minorHAnsi" w:cstheme="minorBidi"/>
              <w:noProof/>
              <w:szCs w:val="22"/>
              <w:lang w:val="en-AU" w:eastAsia="en-AU"/>
            </w:rPr>
          </w:pPr>
          <w:hyperlink w:anchor="_Toc486257366" w:history="1">
            <w:r w:rsidRPr="00570074">
              <w:rPr>
                <w:rStyle w:val="Hyperlink"/>
                <w:noProof/>
              </w:rPr>
              <w:t>Other matters</w:t>
            </w:r>
            <w:r>
              <w:rPr>
                <w:noProof/>
                <w:webHidden/>
              </w:rPr>
              <w:tab/>
            </w:r>
            <w:r>
              <w:rPr>
                <w:noProof/>
                <w:webHidden/>
              </w:rPr>
              <w:fldChar w:fldCharType="begin"/>
            </w:r>
            <w:r>
              <w:rPr>
                <w:noProof/>
                <w:webHidden/>
              </w:rPr>
              <w:instrText xml:space="preserve"> PAGEREF _Toc486257366 \h </w:instrText>
            </w:r>
            <w:r>
              <w:rPr>
                <w:noProof/>
                <w:webHidden/>
              </w:rPr>
            </w:r>
            <w:r>
              <w:rPr>
                <w:noProof/>
                <w:webHidden/>
              </w:rPr>
              <w:fldChar w:fldCharType="separate"/>
            </w:r>
            <w:r>
              <w:rPr>
                <w:noProof/>
                <w:webHidden/>
              </w:rPr>
              <w:t>19</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7" w:history="1">
            <w:r w:rsidRPr="00570074">
              <w:rPr>
                <w:rStyle w:val="Hyperlink"/>
                <w:noProof/>
              </w:rPr>
              <w:t>Conflicts of interest</w:t>
            </w:r>
            <w:r>
              <w:rPr>
                <w:noProof/>
                <w:webHidden/>
              </w:rPr>
              <w:tab/>
            </w:r>
            <w:r>
              <w:rPr>
                <w:noProof/>
                <w:webHidden/>
              </w:rPr>
              <w:fldChar w:fldCharType="begin"/>
            </w:r>
            <w:r>
              <w:rPr>
                <w:noProof/>
                <w:webHidden/>
              </w:rPr>
              <w:instrText xml:space="preserve"> PAGEREF _Toc486257367 \h </w:instrText>
            </w:r>
            <w:r>
              <w:rPr>
                <w:noProof/>
                <w:webHidden/>
              </w:rPr>
            </w:r>
            <w:r>
              <w:rPr>
                <w:noProof/>
                <w:webHidden/>
              </w:rPr>
              <w:fldChar w:fldCharType="separate"/>
            </w:r>
            <w:r>
              <w:rPr>
                <w:noProof/>
                <w:webHidden/>
              </w:rPr>
              <w:t>19</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8" w:history="1">
            <w:r w:rsidRPr="00570074">
              <w:rPr>
                <w:rStyle w:val="Hyperlink"/>
                <w:noProof/>
              </w:rPr>
              <w:t>Estimated legal costs</w:t>
            </w:r>
            <w:r>
              <w:rPr>
                <w:noProof/>
                <w:webHidden/>
              </w:rPr>
              <w:tab/>
            </w:r>
            <w:r>
              <w:rPr>
                <w:noProof/>
                <w:webHidden/>
              </w:rPr>
              <w:fldChar w:fldCharType="begin"/>
            </w:r>
            <w:r>
              <w:rPr>
                <w:noProof/>
                <w:webHidden/>
              </w:rPr>
              <w:instrText xml:space="preserve"> PAGEREF _Toc486257368 \h </w:instrText>
            </w:r>
            <w:r>
              <w:rPr>
                <w:noProof/>
                <w:webHidden/>
              </w:rPr>
            </w:r>
            <w:r>
              <w:rPr>
                <w:noProof/>
                <w:webHidden/>
              </w:rPr>
              <w:fldChar w:fldCharType="separate"/>
            </w:r>
            <w:r>
              <w:rPr>
                <w:noProof/>
                <w:webHidden/>
              </w:rPr>
              <w:t>19</w:t>
            </w:r>
            <w:r>
              <w:rPr>
                <w:noProof/>
                <w:webHidden/>
              </w:rPr>
              <w:fldChar w:fldCharType="end"/>
            </w:r>
          </w:hyperlink>
        </w:p>
        <w:p w:rsidR="00071286" w:rsidRDefault="00071286">
          <w:pPr>
            <w:pStyle w:val="TOC2"/>
            <w:tabs>
              <w:tab w:val="right" w:leader="dot" w:pos="9622"/>
            </w:tabs>
            <w:rPr>
              <w:rFonts w:asciiTheme="minorHAnsi" w:hAnsiTheme="minorHAnsi" w:cstheme="minorBidi"/>
              <w:noProof/>
              <w:szCs w:val="22"/>
              <w:lang w:val="en-AU" w:eastAsia="en-AU"/>
            </w:rPr>
          </w:pPr>
          <w:hyperlink w:anchor="_Toc486257369" w:history="1">
            <w:r w:rsidRPr="00570074">
              <w:rPr>
                <w:rStyle w:val="Hyperlink"/>
                <w:noProof/>
              </w:rPr>
              <w:t>Discretion</w:t>
            </w:r>
            <w:r>
              <w:rPr>
                <w:noProof/>
                <w:webHidden/>
              </w:rPr>
              <w:tab/>
            </w:r>
            <w:r>
              <w:rPr>
                <w:noProof/>
                <w:webHidden/>
              </w:rPr>
              <w:fldChar w:fldCharType="begin"/>
            </w:r>
            <w:r>
              <w:rPr>
                <w:noProof/>
                <w:webHidden/>
              </w:rPr>
              <w:instrText xml:space="preserve"> PAGEREF _Toc486257369 \h </w:instrText>
            </w:r>
            <w:r>
              <w:rPr>
                <w:noProof/>
                <w:webHidden/>
              </w:rPr>
            </w:r>
            <w:r>
              <w:rPr>
                <w:noProof/>
                <w:webHidden/>
              </w:rPr>
              <w:fldChar w:fldCharType="separate"/>
            </w:r>
            <w:r>
              <w:rPr>
                <w:noProof/>
                <w:webHidden/>
              </w:rPr>
              <w:t>19</w:t>
            </w:r>
            <w:r>
              <w:rPr>
                <w:noProof/>
                <w:webHidden/>
              </w:rPr>
              <w:fldChar w:fldCharType="end"/>
            </w:r>
          </w:hyperlink>
        </w:p>
        <w:p w:rsidR="00344D64" w:rsidRDefault="00BF4B30" w:rsidP="00344D64">
          <w:pPr>
            <w:spacing w:after="0"/>
            <w:rPr>
              <w:bCs/>
              <w:noProof/>
            </w:rPr>
          </w:pPr>
          <w:r>
            <w:rPr>
              <w:b/>
              <w:bCs/>
              <w:noProof/>
            </w:rPr>
            <w:fldChar w:fldCharType="end"/>
          </w:r>
        </w:p>
      </w:sdtContent>
    </w:sdt>
    <w:p w:rsidR="002D294A" w:rsidRPr="00344D64" w:rsidRDefault="002D294A" w:rsidP="00344D64">
      <w:pPr>
        <w:spacing w:after="0"/>
        <w:rPr>
          <w:bCs/>
          <w:noProof/>
        </w:rPr>
      </w:pPr>
    </w:p>
    <w:p w:rsidR="00833F4A" w:rsidRDefault="00E0773F" w:rsidP="00E0773F">
      <w:pPr>
        <w:pStyle w:val="Heading1"/>
      </w:pPr>
      <w:bookmarkStart w:id="1" w:name="_Toc486257344"/>
      <w:r>
        <w:lastRenderedPageBreak/>
        <w:t>Introduction</w:t>
      </w:r>
      <w:bookmarkEnd w:id="1"/>
    </w:p>
    <w:p w:rsidR="00765957" w:rsidRPr="00765957" w:rsidRDefault="00765957" w:rsidP="00765957">
      <w:pPr>
        <w:spacing w:before="0" w:after="200" w:line="276" w:lineRule="auto"/>
        <w:rPr>
          <w:rFonts w:eastAsia="Times New Roman"/>
          <w:szCs w:val="22"/>
          <w:lang w:val="en-AU"/>
        </w:rPr>
      </w:pPr>
      <w:r w:rsidRPr="00765957">
        <w:rPr>
          <w:rFonts w:eastAsia="Times New Roman"/>
          <w:szCs w:val="22"/>
          <w:lang w:val="en-AU"/>
        </w:rPr>
        <w:t xml:space="preserve">The Victorian Council of Social Service (VCOSS) welcomes the opportunity to comment on Victoria Legal Aid’s (VLA) </w:t>
      </w:r>
      <w:r w:rsidRPr="00DF352D">
        <w:rPr>
          <w:rFonts w:eastAsia="Times New Roman"/>
          <w:i/>
          <w:szCs w:val="22"/>
          <w:lang w:val="en-AU"/>
        </w:rPr>
        <w:t>Means Test Review Options Paper</w:t>
      </w:r>
      <w:r w:rsidR="00BA139C">
        <w:rPr>
          <w:rFonts w:eastAsia="Times New Roman"/>
          <w:i/>
          <w:szCs w:val="22"/>
          <w:lang w:val="en-AU"/>
        </w:rPr>
        <w:t xml:space="preserve"> </w:t>
      </w:r>
      <w:r w:rsidR="00BA139C" w:rsidRPr="00DF352D">
        <w:rPr>
          <w:rFonts w:eastAsia="Times New Roman"/>
          <w:szCs w:val="22"/>
          <w:lang w:val="en-AU"/>
        </w:rPr>
        <w:t>(Options Paper)</w:t>
      </w:r>
      <w:r w:rsidRPr="00BA139C">
        <w:rPr>
          <w:rFonts w:eastAsia="Times New Roman"/>
          <w:szCs w:val="22"/>
          <w:lang w:val="en-AU"/>
        </w:rPr>
        <w:t>.</w:t>
      </w:r>
    </w:p>
    <w:p w:rsidR="00765957" w:rsidRPr="00765957" w:rsidRDefault="00765957" w:rsidP="00765957">
      <w:pPr>
        <w:spacing w:before="0" w:after="200" w:line="276" w:lineRule="auto"/>
        <w:rPr>
          <w:rFonts w:eastAsia="Times New Roman"/>
          <w:szCs w:val="22"/>
          <w:lang w:val="en-AU"/>
        </w:rPr>
      </w:pPr>
      <w:r w:rsidRPr="00765957">
        <w:rPr>
          <w:rFonts w:eastAsia="Times New Roman"/>
          <w:szCs w:val="22"/>
          <w:lang w:val="en-AU"/>
        </w:rPr>
        <w:t xml:space="preserve">VCOSS acknowledges the comprehensive consultation process already undertaken to </w:t>
      </w:r>
      <w:r w:rsidR="00BA139C">
        <w:rPr>
          <w:rFonts w:eastAsia="Times New Roman"/>
          <w:szCs w:val="22"/>
          <w:lang w:val="en-AU"/>
        </w:rPr>
        <w:t>inform</w:t>
      </w:r>
      <w:r w:rsidR="00BA139C" w:rsidRPr="00765957">
        <w:rPr>
          <w:rFonts w:eastAsia="Times New Roman"/>
          <w:szCs w:val="22"/>
          <w:lang w:val="en-AU"/>
        </w:rPr>
        <w:t xml:space="preserve"> </w:t>
      </w:r>
      <w:r w:rsidRPr="00765957">
        <w:rPr>
          <w:rFonts w:eastAsia="Times New Roman"/>
          <w:szCs w:val="22"/>
          <w:lang w:val="en-AU"/>
        </w:rPr>
        <w:t>the Options Paper, including the consultation</w:t>
      </w:r>
      <w:r w:rsidR="003D379B">
        <w:rPr>
          <w:rFonts w:eastAsia="Times New Roman"/>
          <w:szCs w:val="22"/>
          <w:lang w:val="en-AU"/>
        </w:rPr>
        <w:t xml:space="preserve"> on the Discussion Paper</w:t>
      </w:r>
      <w:r w:rsidRPr="00765957">
        <w:rPr>
          <w:rFonts w:eastAsia="Times New Roman"/>
          <w:szCs w:val="22"/>
          <w:lang w:val="en-AU"/>
        </w:rPr>
        <w:t xml:space="preserve"> that occurr</w:t>
      </w:r>
      <w:r w:rsidR="009B5845">
        <w:rPr>
          <w:rFonts w:eastAsia="Times New Roman"/>
          <w:szCs w:val="22"/>
          <w:lang w:val="en-AU"/>
        </w:rPr>
        <w:t xml:space="preserve">ed in 2016. </w:t>
      </w:r>
      <w:r w:rsidR="00731770">
        <w:rPr>
          <w:rFonts w:eastAsia="Times New Roman"/>
          <w:szCs w:val="22"/>
          <w:lang w:val="en-AU"/>
        </w:rPr>
        <w:t>VCOSS</w:t>
      </w:r>
      <w:r w:rsidR="00DF352D">
        <w:rPr>
          <w:rFonts w:eastAsia="Times New Roman"/>
          <w:szCs w:val="22"/>
          <w:lang w:val="en-AU"/>
        </w:rPr>
        <w:t>’s</w:t>
      </w:r>
      <w:r w:rsidR="00731770">
        <w:rPr>
          <w:rFonts w:eastAsia="Times New Roman"/>
          <w:szCs w:val="22"/>
          <w:lang w:val="en-AU"/>
        </w:rPr>
        <w:t xml:space="preserve"> </w:t>
      </w:r>
      <w:r w:rsidRPr="00765957">
        <w:rPr>
          <w:rFonts w:eastAsia="Times New Roman"/>
          <w:szCs w:val="22"/>
          <w:lang w:val="en-AU"/>
        </w:rPr>
        <w:t>position</w:t>
      </w:r>
      <w:r w:rsidR="0082489B">
        <w:rPr>
          <w:rFonts w:eastAsia="Times New Roman"/>
          <w:szCs w:val="22"/>
          <w:lang w:val="en-AU"/>
        </w:rPr>
        <w:t xml:space="preserve"> remains</w:t>
      </w:r>
      <w:r w:rsidRPr="00765957">
        <w:rPr>
          <w:rFonts w:eastAsia="Times New Roman"/>
          <w:szCs w:val="22"/>
          <w:lang w:val="en-AU"/>
        </w:rPr>
        <w:t xml:space="preserve"> that legal aid and the community legal system </w:t>
      </w:r>
      <w:r w:rsidR="0082489B">
        <w:rPr>
          <w:rFonts w:eastAsia="Times New Roman"/>
          <w:szCs w:val="22"/>
          <w:lang w:val="en-AU"/>
        </w:rPr>
        <w:t xml:space="preserve">in Victoria </w:t>
      </w:r>
      <w:r w:rsidRPr="00765957">
        <w:rPr>
          <w:rFonts w:eastAsia="Times New Roman"/>
          <w:szCs w:val="22"/>
          <w:lang w:val="en-AU"/>
        </w:rPr>
        <w:t xml:space="preserve">are </w:t>
      </w:r>
      <w:r w:rsidR="0082489B">
        <w:rPr>
          <w:rFonts w:eastAsia="Times New Roman"/>
          <w:szCs w:val="22"/>
          <w:lang w:val="en-AU"/>
        </w:rPr>
        <w:t xml:space="preserve">significantly </w:t>
      </w:r>
      <w:r w:rsidR="00DF352D" w:rsidRPr="00765957">
        <w:rPr>
          <w:rFonts w:eastAsia="Times New Roman"/>
          <w:szCs w:val="22"/>
          <w:lang w:val="en-AU"/>
        </w:rPr>
        <w:t>under</w:t>
      </w:r>
      <w:r w:rsidR="00DF352D">
        <w:rPr>
          <w:rFonts w:eastAsia="Times New Roman"/>
          <w:szCs w:val="22"/>
          <w:lang w:val="en-AU"/>
        </w:rPr>
        <w:t xml:space="preserve"> resourced</w:t>
      </w:r>
      <w:r w:rsidRPr="00765957">
        <w:rPr>
          <w:rFonts w:eastAsia="Times New Roman"/>
          <w:szCs w:val="22"/>
          <w:lang w:val="en-AU"/>
        </w:rPr>
        <w:t xml:space="preserve">, relative to </w:t>
      </w:r>
      <w:r w:rsidR="0082489B">
        <w:rPr>
          <w:rFonts w:eastAsia="Times New Roman"/>
          <w:szCs w:val="22"/>
          <w:lang w:val="en-AU"/>
        </w:rPr>
        <w:t xml:space="preserve">demonstrated </w:t>
      </w:r>
      <w:r w:rsidRPr="00765957">
        <w:rPr>
          <w:rFonts w:eastAsia="Times New Roman"/>
          <w:szCs w:val="22"/>
          <w:lang w:val="en-AU"/>
        </w:rPr>
        <w:t>need</w:t>
      </w:r>
      <w:r w:rsidR="0082489B">
        <w:rPr>
          <w:rFonts w:eastAsia="Times New Roman"/>
          <w:szCs w:val="22"/>
          <w:lang w:val="en-AU"/>
        </w:rPr>
        <w:t xml:space="preserve"> in the community</w:t>
      </w:r>
      <w:r w:rsidRPr="00765957">
        <w:rPr>
          <w:rFonts w:eastAsia="Times New Roman"/>
          <w:szCs w:val="22"/>
          <w:lang w:val="en-AU"/>
        </w:rPr>
        <w:t xml:space="preserve">. </w:t>
      </w:r>
      <w:r w:rsidR="0082489B">
        <w:rPr>
          <w:rFonts w:eastAsia="Times New Roman"/>
          <w:szCs w:val="22"/>
          <w:lang w:val="en-AU"/>
        </w:rPr>
        <w:t xml:space="preserve">This was highlighted in </w:t>
      </w:r>
      <w:r w:rsidRPr="00765957">
        <w:rPr>
          <w:rFonts w:eastAsia="Times New Roman"/>
          <w:szCs w:val="22"/>
          <w:lang w:val="en-AU"/>
        </w:rPr>
        <w:t xml:space="preserve">our submission </w:t>
      </w:r>
      <w:r w:rsidR="00CC60A2">
        <w:rPr>
          <w:rFonts w:eastAsia="Times New Roman"/>
          <w:szCs w:val="22"/>
          <w:lang w:val="en-AU"/>
        </w:rPr>
        <w:t xml:space="preserve">to the Discussion Paper, </w:t>
      </w:r>
      <w:r w:rsidR="0082489B">
        <w:rPr>
          <w:rFonts w:eastAsia="Times New Roman"/>
          <w:szCs w:val="22"/>
          <w:lang w:val="en-AU"/>
        </w:rPr>
        <w:t xml:space="preserve">where </w:t>
      </w:r>
      <w:r w:rsidRPr="00765957">
        <w:rPr>
          <w:rFonts w:eastAsia="Times New Roman"/>
          <w:szCs w:val="22"/>
          <w:lang w:val="en-AU"/>
        </w:rPr>
        <w:t xml:space="preserve">we pointed to the growing </w:t>
      </w:r>
      <w:r w:rsidR="0082489B">
        <w:rPr>
          <w:rFonts w:eastAsia="Times New Roman"/>
          <w:szCs w:val="22"/>
          <w:lang w:val="en-AU"/>
        </w:rPr>
        <w:t>‘</w:t>
      </w:r>
      <w:r w:rsidRPr="00765957">
        <w:rPr>
          <w:rFonts w:eastAsia="Times New Roman"/>
          <w:szCs w:val="22"/>
          <w:lang w:val="en-AU"/>
        </w:rPr>
        <w:t>justice gap</w:t>
      </w:r>
      <w:r w:rsidR="0082489B">
        <w:rPr>
          <w:rFonts w:eastAsia="Times New Roman"/>
          <w:szCs w:val="22"/>
          <w:lang w:val="en-AU"/>
        </w:rPr>
        <w:t>’</w:t>
      </w:r>
      <w:r w:rsidRPr="00765957">
        <w:rPr>
          <w:rFonts w:eastAsia="Times New Roman"/>
          <w:szCs w:val="22"/>
          <w:lang w:val="en-AU"/>
        </w:rPr>
        <w:t xml:space="preserve"> between people who can identify and enforce their legal rights, and those who cannot.</w:t>
      </w:r>
    </w:p>
    <w:p w:rsidR="00765957" w:rsidRPr="00765957" w:rsidRDefault="00765957" w:rsidP="00765957">
      <w:pPr>
        <w:spacing w:before="0" w:after="200" w:line="276" w:lineRule="auto"/>
        <w:rPr>
          <w:rFonts w:eastAsia="Times New Roman"/>
          <w:szCs w:val="22"/>
          <w:lang w:val="en-AU"/>
        </w:rPr>
      </w:pPr>
      <w:r w:rsidRPr="00765957">
        <w:rPr>
          <w:rFonts w:eastAsia="Times New Roman"/>
          <w:szCs w:val="22"/>
          <w:lang w:val="en-AU"/>
        </w:rPr>
        <w:t>VCOSS</w:t>
      </w:r>
      <w:r w:rsidR="0082489B">
        <w:rPr>
          <w:rFonts w:eastAsia="Times New Roman"/>
          <w:szCs w:val="22"/>
          <w:lang w:val="en-AU"/>
        </w:rPr>
        <w:t xml:space="preserve"> represents over 300 community sector</w:t>
      </w:r>
      <w:r w:rsidRPr="00765957">
        <w:rPr>
          <w:rFonts w:eastAsia="Times New Roman"/>
          <w:szCs w:val="22"/>
          <w:lang w:val="en-AU"/>
        </w:rPr>
        <w:t xml:space="preserve"> members</w:t>
      </w:r>
      <w:r w:rsidR="00C506B0">
        <w:rPr>
          <w:rFonts w:eastAsia="Times New Roman"/>
          <w:szCs w:val="22"/>
          <w:lang w:val="en-AU"/>
        </w:rPr>
        <w:t xml:space="preserve">, </w:t>
      </w:r>
      <w:r w:rsidR="0082489B">
        <w:rPr>
          <w:rFonts w:eastAsia="Times New Roman"/>
          <w:szCs w:val="22"/>
          <w:lang w:val="en-AU"/>
        </w:rPr>
        <w:t xml:space="preserve">including large charities, peak organisations, small community services, advocacy </w:t>
      </w:r>
      <w:r w:rsidR="00A11529">
        <w:rPr>
          <w:rFonts w:eastAsia="Times New Roman"/>
          <w:szCs w:val="22"/>
          <w:lang w:val="en-AU"/>
        </w:rPr>
        <w:t xml:space="preserve">groups and networks, who </w:t>
      </w:r>
      <w:r w:rsidRPr="00765957">
        <w:rPr>
          <w:rFonts w:eastAsia="Times New Roman"/>
          <w:szCs w:val="22"/>
          <w:lang w:val="en-AU"/>
        </w:rPr>
        <w:t>provide a wide range of supports to people who are experiencing poverty and disadvantage. When faced with additional legal problems,</w:t>
      </w:r>
      <w:r w:rsidR="009B5845">
        <w:rPr>
          <w:rFonts w:eastAsia="Times New Roman"/>
          <w:szCs w:val="22"/>
          <w:lang w:val="en-AU"/>
        </w:rPr>
        <w:t xml:space="preserve"> VCOSS members told us that </w:t>
      </w:r>
      <w:r w:rsidR="00CC60A2">
        <w:rPr>
          <w:rFonts w:eastAsia="Times New Roman"/>
          <w:szCs w:val="22"/>
          <w:lang w:val="en-AU"/>
        </w:rPr>
        <w:t xml:space="preserve">their clients need </w:t>
      </w:r>
      <w:r w:rsidR="009B5845">
        <w:rPr>
          <w:rFonts w:eastAsia="Times New Roman"/>
          <w:szCs w:val="22"/>
          <w:lang w:val="en-AU"/>
        </w:rPr>
        <w:t>timely and easy</w:t>
      </w:r>
      <w:r w:rsidRPr="00765957">
        <w:rPr>
          <w:rFonts w:eastAsia="Times New Roman"/>
          <w:szCs w:val="22"/>
          <w:lang w:val="en-AU"/>
        </w:rPr>
        <w:t xml:space="preserve"> access to legal assistance</w:t>
      </w:r>
      <w:r w:rsidR="00CC60A2">
        <w:rPr>
          <w:rFonts w:eastAsia="Times New Roman"/>
          <w:szCs w:val="22"/>
          <w:lang w:val="en-AU"/>
        </w:rPr>
        <w:t>. This</w:t>
      </w:r>
      <w:r w:rsidRPr="00765957">
        <w:rPr>
          <w:rFonts w:eastAsia="Times New Roman"/>
          <w:szCs w:val="22"/>
          <w:lang w:val="en-AU"/>
        </w:rPr>
        <w:t xml:space="preserve"> is vital</w:t>
      </w:r>
      <w:r w:rsidR="00C506B0">
        <w:rPr>
          <w:rFonts w:eastAsia="Times New Roman"/>
          <w:szCs w:val="22"/>
          <w:lang w:val="en-AU"/>
        </w:rPr>
        <w:t xml:space="preserve"> and its importance cannot be underestimated</w:t>
      </w:r>
      <w:r w:rsidRPr="00765957">
        <w:rPr>
          <w:rFonts w:eastAsia="Times New Roman"/>
          <w:szCs w:val="22"/>
          <w:lang w:val="en-AU"/>
        </w:rPr>
        <w:t xml:space="preserve">. When access to legal assistance is restricted or qualified, people </w:t>
      </w:r>
      <w:r w:rsidR="00CC60A2">
        <w:rPr>
          <w:rFonts w:eastAsia="Times New Roman"/>
          <w:szCs w:val="22"/>
          <w:lang w:val="en-AU"/>
        </w:rPr>
        <w:t xml:space="preserve">are at </w:t>
      </w:r>
      <w:r w:rsidRPr="00765957">
        <w:rPr>
          <w:rFonts w:eastAsia="Times New Roman"/>
          <w:szCs w:val="22"/>
          <w:lang w:val="en-AU"/>
        </w:rPr>
        <w:t xml:space="preserve">risk </w:t>
      </w:r>
      <w:r w:rsidR="00CC60A2">
        <w:rPr>
          <w:rFonts w:eastAsia="Times New Roman"/>
          <w:szCs w:val="22"/>
          <w:lang w:val="en-AU"/>
        </w:rPr>
        <w:t xml:space="preserve">of </w:t>
      </w:r>
      <w:r w:rsidRPr="00765957">
        <w:rPr>
          <w:rFonts w:eastAsia="Times New Roman"/>
          <w:szCs w:val="22"/>
          <w:lang w:val="en-AU"/>
        </w:rPr>
        <w:t xml:space="preserve">unfair treatment by the legal system. </w:t>
      </w:r>
    </w:p>
    <w:p w:rsidR="00765957" w:rsidRPr="00765957" w:rsidRDefault="00765957" w:rsidP="00765957">
      <w:pPr>
        <w:spacing w:before="0" w:after="200" w:line="276" w:lineRule="auto"/>
        <w:rPr>
          <w:rFonts w:eastAsia="Times New Roman"/>
          <w:szCs w:val="22"/>
          <w:lang w:val="en-AU"/>
        </w:rPr>
      </w:pPr>
      <w:r w:rsidRPr="00765957">
        <w:rPr>
          <w:rFonts w:eastAsia="Times New Roman"/>
          <w:szCs w:val="22"/>
          <w:lang w:val="en-AU"/>
        </w:rPr>
        <w:t>Legal representation in a criminal trial is considered a right in common law. A court can stay proceedings in a serious criminal trial if the accused is unrepresented and will not have a fair trial.</w:t>
      </w:r>
      <w:r w:rsidRPr="00765957">
        <w:rPr>
          <w:rFonts w:eastAsia="Times New Roman"/>
          <w:szCs w:val="22"/>
          <w:vertAlign w:val="superscript"/>
          <w:lang w:val="en-AU"/>
        </w:rPr>
        <w:footnoteReference w:id="1"/>
      </w:r>
      <w:r w:rsidRPr="00765957">
        <w:rPr>
          <w:rFonts w:eastAsia="Times New Roman"/>
          <w:szCs w:val="22"/>
          <w:lang w:val="en-AU"/>
        </w:rPr>
        <w:t xml:space="preserve"> In Victoria, the right to a fair hearing is a stat</w:t>
      </w:r>
      <w:r w:rsidR="009B5845">
        <w:rPr>
          <w:rFonts w:eastAsia="Times New Roman"/>
          <w:szCs w:val="22"/>
          <w:lang w:val="en-AU"/>
        </w:rPr>
        <w:t xml:space="preserve">utory right under </w:t>
      </w:r>
      <w:r w:rsidRPr="00765957">
        <w:rPr>
          <w:rFonts w:eastAsia="Times New Roman"/>
          <w:szCs w:val="22"/>
          <w:lang w:val="en-AU"/>
        </w:rPr>
        <w:t xml:space="preserve">the </w:t>
      </w:r>
      <w:r w:rsidRPr="00765957">
        <w:rPr>
          <w:rFonts w:eastAsia="Times New Roman"/>
          <w:i/>
          <w:szCs w:val="22"/>
          <w:lang w:val="en-AU"/>
        </w:rPr>
        <w:t>Charter of Human Rights</w:t>
      </w:r>
      <w:r w:rsidR="009B5845">
        <w:rPr>
          <w:rFonts w:eastAsia="Times New Roman"/>
          <w:i/>
          <w:szCs w:val="22"/>
          <w:lang w:val="en-AU"/>
        </w:rPr>
        <w:t xml:space="preserve"> and Responsibilities Act</w:t>
      </w:r>
      <w:r w:rsidRPr="00765957">
        <w:rPr>
          <w:rFonts w:eastAsia="Times New Roman"/>
          <w:szCs w:val="22"/>
          <w:lang w:val="en-AU"/>
        </w:rPr>
        <w:t>. This extends to the right to counsel.</w:t>
      </w:r>
      <w:r w:rsidRPr="00765957">
        <w:rPr>
          <w:rFonts w:eastAsia="Times New Roman"/>
          <w:szCs w:val="22"/>
          <w:vertAlign w:val="superscript"/>
          <w:lang w:val="en-AU"/>
        </w:rPr>
        <w:footnoteReference w:id="2"/>
      </w:r>
    </w:p>
    <w:p w:rsidR="00765957" w:rsidRPr="00765957" w:rsidRDefault="009B5845" w:rsidP="00765957">
      <w:pPr>
        <w:spacing w:before="0" w:after="200" w:line="276" w:lineRule="auto"/>
        <w:rPr>
          <w:rFonts w:eastAsia="Times New Roman"/>
          <w:szCs w:val="22"/>
          <w:lang w:val="en-AU"/>
        </w:rPr>
      </w:pPr>
      <w:r>
        <w:rPr>
          <w:rFonts w:eastAsia="Times New Roman"/>
          <w:szCs w:val="22"/>
          <w:lang w:val="en-AU"/>
        </w:rPr>
        <w:t>V</w:t>
      </w:r>
      <w:r w:rsidR="00765957" w:rsidRPr="00765957">
        <w:rPr>
          <w:rFonts w:eastAsia="Times New Roman"/>
          <w:szCs w:val="22"/>
          <w:lang w:val="en-AU"/>
        </w:rPr>
        <w:t>ictims of family</w:t>
      </w:r>
      <w:r>
        <w:rPr>
          <w:rFonts w:eastAsia="Times New Roman"/>
          <w:szCs w:val="22"/>
          <w:lang w:val="en-AU"/>
        </w:rPr>
        <w:t xml:space="preserve"> violence also </w:t>
      </w:r>
      <w:r w:rsidR="00CC60A2">
        <w:rPr>
          <w:rFonts w:eastAsia="Times New Roman"/>
          <w:szCs w:val="22"/>
          <w:lang w:val="en-AU"/>
        </w:rPr>
        <w:t xml:space="preserve">need </w:t>
      </w:r>
      <w:r w:rsidR="00A11529">
        <w:rPr>
          <w:rFonts w:eastAsia="Times New Roman"/>
          <w:szCs w:val="22"/>
          <w:lang w:val="en-AU"/>
        </w:rPr>
        <w:t xml:space="preserve">fair and equitable </w:t>
      </w:r>
      <w:r w:rsidR="00765957" w:rsidRPr="00765957">
        <w:rPr>
          <w:rFonts w:eastAsia="Times New Roman"/>
          <w:szCs w:val="22"/>
          <w:lang w:val="en-AU"/>
        </w:rPr>
        <w:t xml:space="preserve">access to legal services. </w:t>
      </w:r>
      <w:r w:rsidR="00CC60A2">
        <w:rPr>
          <w:rFonts w:eastAsia="Times New Roman"/>
          <w:szCs w:val="22"/>
          <w:lang w:val="en-AU"/>
        </w:rPr>
        <w:t>Fam</w:t>
      </w:r>
      <w:r w:rsidR="00A11529" w:rsidRPr="00765957">
        <w:rPr>
          <w:rFonts w:eastAsia="Times New Roman"/>
          <w:szCs w:val="22"/>
          <w:lang w:val="en-AU"/>
        </w:rPr>
        <w:t xml:space="preserve">ily violence </w:t>
      </w:r>
      <w:r w:rsidR="00A11529">
        <w:rPr>
          <w:rFonts w:eastAsia="Times New Roman"/>
          <w:szCs w:val="22"/>
          <w:lang w:val="en-AU"/>
        </w:rPr>
        <w:t xml:space="preserve">cases highlighted through the </w:t>
      </w:r>
      <w:r w:rsidR="00A11529" w:rsidRPr="00765957">
        <w:rPr>
          <w:rFonts w:eastAsia="Times New Roman"/>
          <w:szCs w:val="22"/>
          <w:lang w:val="en-AU"/>
        </w:rPr>
        <w:t xml:space="preserve">Family Violence Royal </w:t>
      </w:r>
      <w:r w:rsidR="005F7E28" w:rsidRPr="00765957">
        <w:rPr>
          <w:rFonts w:eastAsia="Times New Roman"/>
          <w:szCs w:val="22"/>
          <w:lang w:val="en-AU"/>
        </w:rPr>
        <w:t>Commission</w:t>
      </w:r>
      <w:r w:rsidR="005F7E28">
        <w:rPr>
          <w:rFonts w:eastAsia="Times New Roman"/>
          <w:szCs w:val="22"/>
          <w:lang w:val="en-AU"/>
        </w:rPr>
        <w:t xml:space="preserve"> hearings</w:t>
      </w:r>
      <w:r w:rsidR="00A11529">
        <w:rPr>
          <w:rFonts w:eastAsia="Times New Roman"/>
          <w:szCs w:val="22"/>
          <w:lang w:val="en-AU"/>
        </w:rPr>
        <w:t xml:space="preserve"> demonstrated the devastating impacts a l</w:t>
      </w:r>
      <w:r w:rsidR="00765957" w:rsidRPr="00765957">
        <w:rPr>
          <w:rFonts w:eastAsia="Times New Roman"/>
          <w:szCs w:val="22"/>
          <w:lang w:val="en-AU"/>
        </w:rPr>
        <w:t>ack of support can have. A victim of family violence, quoted by the Family Violence Royal Commission, described dealing with the legal system without representation as “</w:t>
      </w:r>
      <w:r w:rsidR="00765957" w:rsidRPr="00DF352D">
        <w:rPr>
          <w:rFonts w:eastAsia="Times New Roman"/>
          <w:i/>
          <w:szCs w:val="22"/>
          <w:lang w:val="en-AU"/>
        </w:rPr>
        <w:t>clawing our way through in the dark.”</w:t>
      </w:r>
      <w:r w:rsidR="00765957" w:rsidRPr="00765957">
        <w:rPr>
          <w:rFonts w:eastAsia="Times New Roman"/>
          <w:szCs w:val="22"/>
          <w:vertAlign w:val="superscript"/>
          <w:lang w:val="en-AU"/>
        </w:rPr>
        <w:footnoteReference w:id="3"/>
      </w:r>
      <w:r w:rsidR="00765957" w:rsidRPr="00765957">
        <w:rPr>
          <w:rFonts w:eastAsia="Times New Roman"/>
          <w:szCs w:val="22"/>
          <w:lang w:val="en-AU"/>
        </w:rPr>
        <w:t xml:space="preserve"> </w:t>
      </w:r>
    </w:p>
    <w:p w:rsidR="00A11529" w:rsidRDefault="009B5845" w:rsidP="00765957">
      <w:pPr>
        <w:spacing w:before="0" w:after="200" w:line="276" w:lineRule="auto"/>
        <w:rPr>
          <w:rFonts w:eastAsia="Times New Roman"/>
          <w:szCs w:val="22"/>
          <w:lang w:val="en-AU"/>
        </w:rPr>
      </w:pPr>
      <w:r>
        <w:rPr>
          <w:rFonts w:eastAsia="Times New Roman"/>
          <w:szCs w:val="22"/>
          <w:lang w:val="en-AU"/>
        </w:rPr>
        <w:t>Other</w:t>
      </w:r>
      <w:r w:rsidR="00765957" w:rsidRPr="00765957">
        <w:rPr>
          <w:rFonts w:eastAsia="Times New Roman"/>
          <w:szCs w:val="22"/>
          <w:lang w:val="en-AU"/>
        </w:rPr>
        <w:t xml:space="preserve"> groups that should have </w:t>
      </w:r>
      <w:r>
        <w:rPr>
          <w:rFonts w:eastAsia="Times New Roman"/>
          <w:szCs w:val="22"/>
          <w:lang w:val="en-AU"/>
        </w:rPr>
        <w:t xml:space="preserve">timely and </w:t>
      </w:r>
      <w:r w:rsidR="00765957" w:rsidRPr="00765957">
        <w:rPr>
          <w:rFonts w:eastAsia="Times New Roman"/>
          <w:szCs w:val="22"/>
          <w:lang w:val="en-AU"/>
        </w:rPr>
        <w:t>easy access to legal assistance include Aborig</w:t>
      </w:r>
      <w:r>
        <w:rPr>
          <w:rFonts w:eastAsia="Times New Roman"/>
          <w:szCs w:val="22"/>
          <w:lang w:val="en-AU"/>
        </w:rPr>
        <w:t>inal and Torres Strait Islander people</w:t>
      </w:r>
      <w:r w:rsidR="00A11529">
        <w:rPr>
          <w:rFonts w:eastAsia="Times New Roman"/>
          <w:szCs w:val="22"/>
          <w:lang w:val="en-AU"/>
        </w:rPr>
        <w:t>s</w:t>
      </w:r>
      <w:r>
        <w:rPr>
          <w:rFonts w:eastAsia="Times New Roman"/>
          <w:szCs w:val="22"/>
          <w:lang w:val="en-AU"/>
        </w:rPr>
        <w:t>, who are</w:t>
      </w:r>
      <w:r w:rsidR="00765957" w:rsidRPr="00765957">
        <w:rPr>
          <w:rFonts w:eastAsia="Times New Roman"/>
          <w:szCs w:val="22"/>
          <w:lang w:val="en-AU"/>
        </w:rPr>
        <w:t xml:space="preserve"> over-represented</w:t>
      </w:r>
      <w:r>
        <w:rPr>
          <w:rFonts w:eastAsia="Times New Roman"/>
          <w:szCs w:val="22"/>
          <w:lang w:val="en-AU"/>
        </w:rPr>
        <w:t xml:space="preserve"> in the</w:t>
      </w:r>
      <w:r w:rsidR="00765957" w:rsidRPr="00765957">
        <w:rPr>
          <w:rFonts w:eastAsia="Times New Roman"/>
          <w:szCs w:val="22"/>
          <w:lang w:val="en-AU"/>
        </w:rPr>
        <w:t xml:space="preserve"> criminal justice, youth ju</w:t>
      </w:r>
      <w:r>
        <w:rPr>
          <w:rFonts w:eastAsia="Times New Roman"/>
          <w:szCs w:val="22"/>
          <w:lang w:val="en-AU"/>
        </w:rPr>
        <w:t xml:space="preserve">stice and </w:t>
      </w:r>
      <w:r w:rsidR="00CC60A2">
        <w:rPr>
          <w:rFonts w:eastAsia="Times New Roman"/>
          <w:szCs w:val="22"/>
          <w:lang w:val="en-AU"/>
        </w:rPr>
        <w:t>out-of-</w:t>
      </w:r>
      <w:r w:rsidR="00765957" w:rsidRPr="00765957">
        <w:rPr>
          <w:rFonts w:eastAsia="Times New Roman"/>
          <w:szCs w:val="22"/>
          <w:lang w:val="en-AU"/>
        </w:rPr>
        <w:t>home care systems.</w:t>
      </w:r>
    </w:p>
    <w:p w:rsidR="00DF352D" w:rsidRDefault="00765957" w:rsidP="00765957">
      <w:pPr>
        <w:spacing w:before="0" w:after="200" w:line="276" w:lineRule="auto"/>
        <w:rPr>
          <w:rFonts w:eastAsia="Times New Roman"/>
          <w:szCs w:val="22"/>
          <w:lang w:val="en-AU"/>
        </w:rPr>
      </w:pPr>
      <w:r w:rsidRPr="00765957">
        <w:rPr>
          <w:rFonts w:eastAsia="Times New Roman"/>
          <w:szCs w:val="22"/>
          <w:lang w:val="en-AU"/>
        </w:rPr>
        <w:lastRenderedPageBreak/>
        <w:t>Young people who have lived in out of home care should also have priority access to legal assistance.</w:t>
      </w:r>
      <w:r w:rsidR="00CC60A2">
        <w:rPr>
          <w:rFonts w:eastAsia="Times New Roman"/>
          <w:szCs w:val="22"/>
          <w:lang w:val="en-AU"/>
        </w:rPr>
        <w:t xml:space="preserve"> The </w:t>
      </w:r>
      <w:r w:rsidR="00DC10CC">
        <w:rPr>
          <w:rFonts w:eastAsia="Times New Roman"/>
          <w:szCs w:val="22"/>
          <w:lang w:val="en-AU"/>
        </w:rPr>
        <w:t xml:space="preserve">link </w:t>
      </w:r>
      <w:r w:rsidR="00CC60A2">
        <w:rPr>
          <w:rFonts w:eastAsia="Times New Roman"/>
          <w:szCs w:val="22"/>
          <w:lang w:val="en-AU"/>
        </w:rPr>
        <w:t>between child protection and youth justice populations is well documented.</w:t>
      </w:r>
      <w:r w:rsidR="00CC60A2">
        <w:rPr>
          <w:rStyle w:val="FootnoteReference"/>
          <w:rFonts w:eastAsia="Times New Roman"/>
          <w:szCs w:val="22"/>
          <w:lang w:val="en-AU"/>
        </w:rPr>
        <w:footnoteReference w:id="4"/>
      </w:r>
    </w:p>
    <w:p w:rsidR="00765957" w:rsidRPr="00765957" w:rsidRDefault="00765957" w:rsidP="00765957">
      <w:pPr>
        <w:spacing w:before="0" w:after="200" w:line="276" w:lineRule="auto"/>
        <w:rPr>
          <w:rFonts w:eastAsia="Times New Roman"/>
          <w:szCs w:val="22"/>
          <w:lang w:val="en-AU"/>
        </w:rPr>
      </w:pPr>
      <w:r w:rsidRPr="00765957">
        <w:rPr>
          <w:rFonts w:eastAsia="Times New Roman"/>
          <w:szCs w:val="22"/>
          <w:lang w:val="en-AU"/>
        </w:rPr>
        <w:t xml:space="preserve">As noted by the Productivity Commission in their review </w:t>
      </w:r>
      <w:r w:rsidRPr="00765957">
        <w:rPr>
          <w:rFonts w:eastAsia="Times New Roman"/>
          <w:i/>
          <w:szCs w:val="22"/>
          <w:lang w:val="en-AU"/>
        </w:rPr>
        <w:t>Access to Justice Arrangements</w:t>
      </w:r>
      <w:r w:rsidRPr="00765957">
        <w:rPr>
          <w:rFonts w:eastAsia="Times New Roman"/>
          <w:szCs w:val="22"/>
          <w:lang w:val="en-AU"/>
        </w:rPr>
        <w:t>:</w:t>
      </w:r>
    </w:p>
    <w:p w:rsidR="00DC10CC" w:rsidRDefault="00765957" w:rsidP="00DC10CC">
      <w:pPr>
        <w:ind w:left="567" w:right="567"/>
        <w:rPr>
          <w:rFonts w:eastAsia="Times New Roman"/>
          <w:szCs w:val="22"/>
          <w:lang w:val="en-AU"/>
        </w:rPr>
      </w:pPr>
      <w:r w:rsidRPr="009B5845">
        <w:rPr>
          <w:rFonts w:eastAsia="Times New Roman"/>
          <w:sz w:val="20"/>
          <w:lang w:val="en-AU"/>
        </w:rPr>
        <w:t>Disadvantaged Australians are more susceptible to, and less equipped to deal with, legal disputes. Governments have a role in assisting these individuals. Numerous studies show that efficient government funded legal assistance services generate</w:t>
      </w:r>
      <w:r w:rsidR="009B5845" w:rsidRPr="009B5845">
        <w:rPr>
          <w:rFonts w:eastAsia="Times New Roman"/>
          <w:sz w:val="20"/>
          <w:lang w:val="en-AU"/>
        </w:rPr>
        <w:t xml:space="preserve"> net benefits to the community</w:t>
      </w:r>
      <w:r w:rsidR="009B5845">
        <w:rPr>
          <w:rFonts w:eastAsia="Times New Roman"/>
          <w:szCs w:val="22"/>
          <w:lang w:val="en-AU"/>
        </w:rPr>
        <w:t>.</w:t>
      </w:r>
      <w:r w:rsidRPr="00765957">
        <w:rPr>
          <w:rFonts w:eastAsia="Times New Roman"/>
          <w:szCs w:val="22"/>
          <w:vertAlign w:val="superscript"/>
          <w:lang w:val="en-AU"/>
        </w:rPr>
        <w:footnoteReference w:id="5"/>
      </w:r>
    </w:p>
    <w:p w:rsidR="00725C08" w:rsidRDefault="00725C08" w:rsidP="00725C08">
      <w:r>
        <w:t>In developing this submission VCOSS</w:t>
      </w:r>
      <w:r w:rsidR="00DC10CC">
        <w:t xml:space="preserve"> further </w:t>
      </w:r>
      <w:r>
        <w:t>consult</w:t>
      </w:r>
      <w:r w:rsidR="00DC10CC">
        <w:t>ed</w:t>
      </w:r>
      <w:r>
        <w:t xml:space="preserve"> with our members. They told us there are a number of factors contributing to legal need, beyond capacity to pay, that should be taken into account when assessing eligibility for legal assistance. </w:t>
      </w:r>
    </w:p>
    <w:p w:rsidR="00A11529" w:rsidRDefault="00355ADA" w:rsidP="00355ADA">
      <w:r>
        <w:t xml:space="preserve">In order to address legal need, </w:t>
      </w:r>
      <w:r w:rsidR="00725C08">
        <w:t xml:space="preserve">VCOSS </w:t>
      </w:r>
      <w:r>
        <w:t>suggest</w:t>
      </w:r>
      <w:r w:rsidR="00725C08">
        <w:t>s</w:t>
      </w:r>
      <w:r>
        <w:t xml:space="preserve"> the</w:t>
      </w:r>
      <w:r w:rsidR="00A11529">
        <w:t xml:space="preserve"> VLA</w:t>
      </w:r>
      <w:r>
        <w:t xml:space="preserve"> means test should be more closely aligned with the priority client framework; the </w:t>
      </w:r>
      <w:r w:rsidR="00725C08">
        <w:t xml:space="preserve">framework </w:t>
      </w:r>
      <w:r>
        <w:t xml:space="preserve">should not just be used </w:t>
      </w:r>
      <w:r w:rsidR="00725C08">
        <w:t xml:space="preserve">to determine eligibility for </w:t>
      </w:r>
      <w:r>
        <w:t xml:space="preserve">triage legal services. </w:t>
      </w:r>
    </w:p>
    <w:p w:rsidR="000450E8" w:rsidRPr="00355ADA" w:rsidRDefault="00765957" w:rsidP="00355ADA">
      <w:r w:rsidRPr="00355ADA">
        <w:t>VCOSS support</w:t>
      </w:r>
      <w:r w:rsidR="00DC10CC">
        <w:t xml:space="preserve">s a number of the </w:t>
      </w:r>
      <w:r w:rsidRPr="00355ADA">
        <w:t xml:space="preserve">options </w:t>
      </w:r>
      <w:r w:rsidR="00DC10CC">
        <w:t xml:space="preserve">proposed by VLA. We have provided further commentary on options </w:t>
      </w:r>
      <w:r w:rsidRPr="00355ADA">
        <w:t>that will make it easier for vulnerable Victorians to deal with their legal issues, with the assistance of legal aid</w:t>
      </w:r>
      <w:r w:rsidR="00AF537F">
        <w:t>, including</w:t>
      </w:r>
      <w:r w:rsidR="00A11529">
        <w:t>:</w:t>
      </w:r>
    </w:p>
    <w:p w:rsidR="000450E8" w:rsidRPr="00725C08" w:rsidRDefault="00725C08" w:rsidP="00355ADA">
      <w:pPr>
        <w:pStyle w:val="ListParagraph"/>
        <w:numPr>
          <w:ilvl w:val="0"/>
          <w:numId w:val="23"/>
        </w:numPr>
        <w:rPr>
          <w:b/>
        </w:rPr>
      </w:pPr>
      <w:r w:rsidRPr="00725C08">
        <w:rPr>
          <w:b/>
        </w:rPr>
        <w:t>M</w:t>
      </w:r>
      <w:r w:rsidR="000450E8" w:rsidRPr="00725C08">
        <w:rPr>
          <w:b/>
        </w:rPr>
        <w:t>odernising the income test</w:t>
      </w:r>
      <w:r>
        <w:t xml:space="preserve"> to</w:t>
      </w:r>
      <w:r w:rsidR="005B139F">
        <w:t xml:space="preserve"> reduce the documentary burden and</w:t>
      </w:r>
      <w:r>
        <w:t xml:space="preserve"> </w:t>
      </w:r>
      <w:r w:rsidR="005B139F">
        <w:t>make it fairer for working people on low incomes,</w:t>
      </w:r>
    </w:p>
    <w:p w:rsidR="000450E8" w:rsidRPr="00725C08" w:rsidRDefault="00725C08" w:rsidP="00355ADA">
      <w:pPr>
        <w:pStyle w:val="ListParagraph"/>
        <w:numPr>
          <w:ilvl w:val="0"/>
          <w:numId w:val="23"/>
        </w:numPr>
        <w:rPr>
          <w:b/>
        </w:rPr>
      </w:pPr>
      <w:r>
        <w:rPr>
          <w:b/>
        </w:rPr>
        <w:t>C</w:t>
      </w:r>
      <w:r w:rsidR="000450E8" w:rsidRPr="00725C08">
        <w:rPr>
          <w:b/>
        </w:rPr>
        <w:t>reating a fairer assets test</w:t>
      </w:r>
      <w:r w:rsidR="005B139F">
        <w:t xml:space="preserve"> to treat renters more equitably and quarantine superannuation that has been accessed to deal with financial hardship,</w:t>
      </w:r>
    </w:p>
    <w:p w:rsidR="000450E8" w:rsidRPr="00725C08" w:rsidRDefault="00725C08" w:rsidP="00355ADA">
      <w:pPr>
        <w:pStyle w:val="ListParagraph"/>
        <w:numPr>
          <w:ilvl w:val="0"/>
          <w:numId w:val="23"/>
        </w:numPr>
        <w:rPr>
          <w:b/>
        </w:rPr>
      </w:pPr>
      <w:r>
        <w:rPr>
          <w:b/>
        </w:rPr>
        <w:t>N</w:t>
      </w:r>
      <w:r w:rsidR="00355ADA" w:rsidRPr="00725C08">
        <w:rPr>
          <w:b/>
        </w:rPr>
        <w:t>arrowing the definition</w:t>
      </w:r>
      <w:r w:rsidR="000450E8" w:rsidRPr="00725C08">
        <w:rPr>
          <w:b/>
        </w:rPr>
        <w:t xml:space="preserve"> of </w:t>
      </w:r>
      <w:r w:rsidR="00355ADA" w:rsidRPr="00725C08">
        <w:rPr>
          <w:b/>
        </w:rPr>
        <w:t>‘financially associated persons’</w:t>
      </w:r>
      <w:r w:rsidR="005B139F">
        <w:t>, to spouses,</w:t>
      </w:r>
    </w:p>
    <w:p w:rsidR="000450E8" w:rsidRPr="00725C08" w:rsidRDefault="00725C08" w:rsidP="00355ADA">
      <w:pPr>
        <w:pStyle w:val="ListParagraph"/>
        <w:numPr>
          <w:ilvl w:val="0"/>
          <w:numId w:val="23"/>
        </w:numPr>
        <w:rPr>
          <w:b/>
        </w:rPr>
      </w:pPr>
      <w:r>
        <w:rPr>
          <w:b/>
        </w:rPr>
        <w:t>M</w:t>
      </w:r>
      <w:r w:rsidR="000450E8" w:rsidRPr="00725C08">
        <w:rPr>
          <w:b/>
        </w:rPr>
        <w:t>aking the contributions policy fairer</w:t>
      </w:r>
      <w:r>
        <w:t xml:space="preserve"> to help people who would otherwise be refused legal assistance because of income make a contribution to ensure they can access justi</w:t>
      </w:r>
      <w:r w:rsidR="005B139F">
        <w:t>ce,</w:t>
      </w:r>
    </w:p>
    <w:p w:rsidR="000450E8" w:rsidRPr="00355ADA" w:rsidRDefault="00725C08" w:rsidP="00355ADA">
      <w:pPr>
        <w:pStyle w:val="ListParagraph"/>
        <w:numPr>
          <w:ilvl w:val="0"/>
          <w:numId w:val="23"/>
        </w:numPr>
      </w:pPr>
      <w:r>
        <w:rPr>
          <w:b/>
        </w:rPr>
        <w:t>E</w:t>
      </w:r>
      <w:r w:rsidR="000450E8" w:rsidRPr="00725C08">
        <w:rPr>
          <w:b/>
        </w:rPr>
        <w:t>stablishing clear exemptions from the means test and contributions policy</w:t>
      </w:r>
      <w:r w:rsidR="000450E8" w:rsidRPr="00355ADA">
        <w:t xml:space="preserve">, </w:t>
      </w:r>
      <w:r>
        <w:t xml:space="preserve">to ensure the right people are getting legal assistance quickly, and legal issues </w:t>
      </w:r>
      <w:r w:rsidR="005B139F">
        <w:t xml:space="preserve">of significant </w:t>
      </w:r>
      <w:r>
        <w:t xml:space="preserve">public interest are </w:t>
      </w:r>
      <w:r w:rsidR="005B139F">
        <w:t>getting heard</w:t>
      </w:r>
      <w:r>
        <w:t xml:space="preserve">, </w:t>
      </w:r>
      <w:r w:rsidR="000450E8" w:rsidRPr="00355ADA">
        <w:t>and</w:t>
      </w:r>
    </w:p>
    <w:p w:rsidR="000450E8" w:rsidRPr="00355ADA" w:rsidRDefault="005B139F" w:rsidP="00355ADA">
      <w:pPr>
        <w:pStyle w:val="ListParagraph"/>
        <w:numPr>
          <w:ilvl w:val="0"/>
          <w:numId w:val="23"/>
        </w:numPr>
      </w:pPr>
      <w:r w:rsidRPr="005B139F">
        <w:rPr>
          <w:b/>
        </w:rPr>
        <w:t>I</w:t>
      </w:r>
      <w:r w:rsidR="000450E8" w:rsidRPr="005B139F">
        <w:rPr>
          <w:b/>
        </w:rPr>
        <w:t xml:space="preserve">mproving </w:t>
      </w:r>
      <w:r w:rsidR="00355ADA" w:rsidRPr="005B139F">
        <w:rPr>
          <w:b/>
        </w:rPr>
        <w:t>access to information for</w:t>
      </w:r>
      <w:r w:rsidR="000450E8" w:rsidRPr="005B139F">
        <w:rPr>
          <w:b/>
        </w:rPr>
        <w:t xml:space="preserve"> potential clients and the community sector</w:t>
      </w:r>
      <w:r w:rsidR="000450E8" w:rsidRPr="00355ADA">
        <w:t>.</w:t>
      </w:r>
    </w:p>
    <w:p w:rsidR="00A11529" w:rsidRDefault="000450E8" w:rsidP="00355ADA">
      <w:r w:rsidRPr="00355ADA">
        <w:t>Areas that require further considerati</w:t>
      </w:r>
      <w:r w:rsidR="00355ADA">
        <w:t>on</w:t>
      </w:r>
      <w:r w:rsidR="00A11529">
        <w:t xml:space="preserve"> as part of the VLA means test review</w:t>
      </w:r>
      <w:r w:rsidR="00355ADA">
        <w:t xml:space="preserve"> include</w:t>
      </w:r>
      <w:r w:rsidR="00A11529">
        <w:t>:</w:t>
      </w:r>
    </w:p>
    <w:p w:rsidR="00A11529" w:rsidRDefault="00355ADA" w:rsidP="00DF352D">
      <w:pPr>
        <w:pStyle w:val="ListParagraph"/>
        <w:numPr>
          <w:ilvl w:val="0"/>
          <w:numId w:val="24"/>
        </w:numPr>
      </w:pPr>
      <w:r>
        <w:t xml:space="preserve">addressing </w:t>
      </w:r>
      <w:r w:rsidR="000450E8" w:rsidRPr="00355ADA">
        <w:t>conflict</w:t>
      </w:r>
      <w:r>
        <w:t>s</w:t>
      </w:r>
      <w:r w:rsidR="000450E8" w:rsidRPr="00355ADA">
        <w:t xml:space="preserve"> of interest, especial</w:t>
      </w:r>
      <w:r w:rsidR="00DF352D">
        <w:t>ly in rural and regional areas</w:t>
      </w:r>
    </w:p>
    <w:p w:rsidR="00A11529" w:rsidRDefault="000450E8" w:rsidP="00DF352D">
      <w:pPr>
        <w:pStyle w:val="ListParagraph"/>
        <w:numPr>
          <w:ilvl w:val="0"/>
          <w:numId w:val="24"/>
        </w:numPr>
      </w:pPr>
      <w:r w:rsidRPr="00355ADA">
        <w:t>the costs framework</w:t>
      </w:r>
      <w:r w:rsidR="005B139F">
        <w:t>, and</w:t>
      </w:r>
    </w:p>
    <w:p w:rsidR="009E7564" w:rsidRPr="00725C08" w:rsidRDefault="005B139F" w:rsidP="00725C08">
      <w:pPr>
        <w:pStyle w:val="ListParagraph"/>
        <w:numPr>
          <w:ilvl w:val="0"/>
          <w:numId w:val="24"/>
        </w:numPr>
      </w:pPr>
      <w:proofErr w:type="gramStart"/>
      <w:r>
        <w:t>the</w:t>
      </w:r>
      <w:proofErr w:type="gramEnd"/>
      <w:r>
        <w:t xml:space="preserve"> use of discretion in decision making</w:t>
      </w:r>
      <w:r w:rsidR="000450E8" w:rsidRPr="00355ADA">
        <w:t>.</w:t>
      </w:r>
    </w:p>
    <w:p w:rsidR="00603A76" w:rsidRDefault="00603A76" w:rsidP="009B5845">
      <w:pPr>
        <w:spacing w:before="0" w:after="200" w:line="276" w:lineRule="auto"/>
      </w:pPr>
      <w:r>
        <w:br w:type="page"/>
      </w:r>
    </w:p>
    <w:p w:rsidR="00603A76" w:rsidRDefault="00603A76" w:rsidP="00603A76">
      <w:pPr>
        <w:pStyle w:val="Heading1"/>
      </w:pPr>
      <w:bookmarkStart w:id="2" w:name="_Toc486257345"/>
      <w:r>
        <w:lastRenderedPageBreak/>
        <w:t>Modernise the income test</w:t>
      </w:r>
      <w:bookmarkEnd w:id="2"/>
    </w:p>
    <w:p w:rsidR="009E7A43" w:rsidRDefault="00870931" w:rsidP="009E7A43">
      <w:r>
        <w:t>VCOSS understands that th</w:t>
      </w:r>
      <w:r w:rsidR="00FD3ED4">
        <w:t>e</w:t>
      </w:r>
      <w:r>
        <w:t xml:space="preserve"> current</w:t>
      </w:r>
      <w:r w:rsidR="00FD3ED4">
        <w:t xml:space="preserve"> means test include</w:t>
      </w:r>
      <w:r w:rsidR="00AB226E">
        <w:t>s</w:t>
      </w:r>
      <w:r w:rsidR="00FD3ED4">
        <w:t xml:space="preserve"> an assessment of a person’s income, to </w:t>
      </w:r>
      <w:r w:rsidR="00CD6389">
        <w:t xml:space="preserve">help </w:t>
      </w:r>
      <w:r w:rsidR="00FD3ED4">
        <w:t>determine whether they can affo</w:t>
      </w:r>
      <w:r w:rsidR="00097FFD">
        <w:t>rd private legal services</w:t>
      </w:r>
      <w:r w:rsidR="00FD3ED4">
        <w:t xml:space="preserve">. VLA </w:t>
      </w:r>
      <w:r w:rsidR="00097FFD">
        <w:t xml:space="preserve">looks </w:t>
      </w:r>
      <w:r w:rsidR="00FD3ED4">
        <w:t xml:space="preserve">at sources of income including </w:t>
      </w:r>
      <w:r w:rsidR="00791EFD">
        <w:t>pensions, benefits, allowances</w:t>
      </w:r>
      <w:r w:rsidR="00AB226E">
        <w:t>, earnings from employment or</w:t>
      </w:r>
      <w:r w:rsidR="00FD3ED4">
        <w:t xml:space="preserve"> self-employment, interest on investments, maintenance or child support, and other potential income sources. VLA will also look at the income of ‘financially associated persons’</w:t>
      </w:r>
      <w:r w:rsidR="00AB226E">
        <w:t>, who are people who provide, or could reasonably be expected to provide, assista</w:t>
      </w:r>
      <w:r w:rsidR="00791EFD">
        <w:t>nce to</w:t>
      </w:r>
      <w:r w:rsidR="000C328F">
        <w:t xml:space="preserve"> an</w:t>
      </w:r>
      <w:r w:rsidR="00791EFD">
        <w:t xml:space="preserve"> applicant, such as parents or partners</w:t>
      </w:r>
      <w:r w:rsidR="00AB226E">
        <w:t>.</w:t>
      </w:r>
    </w:p>
    <w:p w:rsidR="00AB226E" w:rsidRDefault="00AB226E" w:rsidP="009E7A43">
      <w:r>
        <w:t>Under the current income test, a person will be eligible for legal aid if their income is $360 a week or less, after living cost allowances are deduc</w:t>
      </w:r>
      <w:r w:rsidR="00866027">
        <w:t>t</w:t>
      </w:r>
      <w:r w:rsidR="005E023C">
        <w:t>ed. Allowances</w:t>
      </w:r>
      <w:r>
        <w:t xml:space="preserve"> include </w:t>
      </w:r>
      <w:r w:rsidR="00791EFD">
        <w:t xml:space="preserve">housing, child care costs, </w:t>
      </w:r>
      <w:r>
        <w:t xml:space="preserve">and the costs of </w:t>
      </w:r>
      <w:r w:rsidR="00743E32">
        <w:t>caring for dependants</w:t>
      </w:r>
      <w:r>
        <w:t>. People with incomes above $360 per week may be eligible for legal aid if they make a financial contribution.</w:t>
      </w:r>
    </w:p>
    <w:p w:rsidR="00870931" w:rsidRDefault="00791EFD" w:rsidP="009E7A43">
      <w:r>
        <w:t>VLA’s income testing could</w:t>
      </w:r>
      <w:r w:rsidR="00870931">
        <w:t xml:space="preserve"> be revised to</w:t>
      </w:r>
      <w:r>
        <w:t xml:space="preserve"> better </w:t>
      </w:r>
      <w:r w:rsidR="007C3022">
        <w:t xml:space="preserve">reflect the nature of poverty and disadvantage in Victoria. </w:t>
      </w:r>
      <w:r>
        <w:t>Current testing can</w:t>
      </w:r>
      <w:r w:rsidR="007C3022">
        <w:t xml:space="preserve"> too easily deny </w:t>
      </w:r>
      <w:r>
        <w:t>legal aid to people on low incomes</w:t>
      </w:r>
      <w:r w:rsidR="00743E32">
        <w:t xml:space="preserve"> who face significant financial stress</w:t>
      </w:r>
      <w:r w:rsidR="007C3022">
        <w:t>, including the one third of people living in poverty who rely on wages</w:t>
      </w:r>
      <w:r w:rsidR="005E023C">
        <w:t xml:space="preserve"> as their main source of income</w:t>
      </w:r>
      <w:r w:rsidR="00870931">
        <w:t>,</w:t>
      </w:r>
      <w:r w:rsidR="005E023C">
        <w:rPr>
          <w:rStyle w:val="FootnoteReference"/>
        </w:rPr>
        <w:footnoteReference w:id="6"/>
      </w:r>
      <w:r w:rsidR="005E023C">
        <w:t xml:space="preserve"> </w:t>
      </w:r>
      <w:r w:rsidR="005F7E28">
        <w:t xml:space="preserve">often </w:t>
      </w:r>
      <w:r w:rsidR="000C328F">
        <w:t xml:space="preserve">called </w:t>
      </w:r>
      <w:r w:rsidR="005F7E28">
        <w:t xml:space="preserve">‘working poor’. </w:t>
      </w:r>
      <w:r w:rsidR="007C3022">
        <w:t xml:space="preserve">This includes many single parent families, under-employed people, and people working in part-time or casual roles for low wages. </w:t>
      </w:r>
      <w:r w:rsidR="00A63C92">
        <w:t xml:space="preserve">VCOSS members report </w:t>
      </w:r>
      <w:r w:rsidR="00DE2611">
        <w:t>low wage workers are accessing</w:t>
      </w:r>
      <w:r w:rsidR="00A63C92">
        <w:t xml:space="preserve"> emergency relief and ot</w:t>
      </w:r>
      <w:r w:rsidR="00DE2611">
        <w:t>her support services</w:t>
      </w:r>
      <w:r w:rsidR="00743E32">
        <w:t xml:space="preserve">, </w:t>
      </w:r>
      <w:r w:rsidR="005E023C">
        <w:t>which shows</w:t>
      </w:r>
      <w:r w:rsidR="00743E32">
        <w:t xml:space="preserve"> the degree of financial need among this group of people</w:t>
      </w:r>
      <w:r w:rsidR="005E023C">
        <w:t xml:space="preserve">. </w:t>
      </w:r>
    </w:p>
    <w:p w:rsidR="00DE2611" w:rsidRDefault="005E023C" w:rsidP="009E7A43">
      <w:r>
        <w:t>Based on its 2017 survey</w:t>
      </w:r>
      <w:r w:rsidR="00DE2611">
        <w:t xml:space="preserve">, </w:t>
      </w:r>
      <w:r w:rsidR="00097FFD">
        <w:t>the Salvation Army states</w:t>
      </w:r>
      <w:r w:rsidR="00DE2611">
        <w:t>:</w:t>
      </w:r>
    </w:p>
    <w:p w:rsidR="00DE2611" w:rsidRDefault="00097FFD" w:rsidP="00B40991">
      <w:pPr>
        <w:ind w:left="720" w:right="276"/>
      </w:pPr>
      <w:r w:rsidRPr="000275A3">
        <w:rPr>
          <w:sz w:val="20"/>
        </w:rPr>
        <w:t>[</w:t>
      </w:r>
      <w:proofErr w:type="gramStart"/>
      <w:r w:rsidRPr="000275A3">
        <w:rPr>
          <w:sz w:val="20"/>
        </w:rPr>
        <w:t>we</w:t>
      </w:r>
      <w:proofErr w:type="gramEnd"/>
      <w:r w:rsidRPr="000275A3">
        <w:rPr>
          <w:sz w:val="20"/>
        </w:rPr>
        <w:t xml:space="preserve"> have] </w:t>
      </w:r>
      <w:r w:rsidR="00DE2611" w:rsidRPr="000275A3">
        <w:rPr>
          <w:sz w:val="20"/>
        </w:rPr>
        <w:t>observed a growing trend of underemployed individuals seeking support through emergency relief services, sometimes referred to as ‘the working poor’. Despite being employed, 14% of [survey] respondents were looking for additional work. Casualisation of the workforce has caused increased financial pressures for many, and led to instability, uncertainty and economic vulnerability</w:t>
      </w:r>
      <w:r w:rsidR="00DE2611">
        <w:t>.</w:t>
      </w:r>
      <w:r w:rsidR="003D3A90">
        <w:rPr>
          <w:rStyle w:val="FootnoteReference"/>
        </w:rPr>
        <w:footnoteReference w:id="7"/>
      </w:r>
    </w:p>
    <w:p w:rsidR="007C3022" w:rsidRDefault="00DE2611" w:rsidP="009E7A43">
      <w:r>
        <w:t xml:space="preserve">Low wage workers may </w:t>
      </w:r>
      <w:r w:rsidR="00791EFD">
        <w:t>therefore</w:t>
      </w:r>
      <w:r>
        <w:t xml:space="preserve"> have little to</w:t>
      </w:r>
      <w:r w:rsidR="005E023C">
        <w:t xml:space="preserve"> no capacity to pay for </w:t>
      </w:r>
      <w:r>
        <w:t>legal services.</w:t>
      </w:r>
    </w:p>
    <w:p w:rsidR="00972BA0" w:rsidRDefault="00972BA0" w:rsidP="009E7A43">
      <w:r>
        <w:t>With this context in mind, VCOSS makes the following observations on the proposed changes to the income test.</w:t>
      </w:r>
    </w:p>
    <w:p w:rsidR="00743E32" w:rsidRDefault="00743E32" w:rsidP="00EE3AEE">
      <w:pPr>
        <w:pStyle w:val="Heading2"/>
      </w:pPr>
      <w:bookmarkStart w:id="3" w:name="_Toc486257346"/>
      <w:r>
        <w:lastRenderedPageBreak/>
        <w:t xml:space="preserve">Exempt vulnerable people </w:t>
      </w:r>
      <w:r w:rsidR="00EE3AEE">
        <w:t>from providing</w:t>
      </w:r>
      <w:r>
        <w:t xml:space="preserve"> documentary proof of means</w:t>
      </w:r>
      <w:bookmarkEnd w:id="3"/>
    </w:p>
    <w:p w:rsidR="00972BA0" w:rsidRDefault="005E023C" w:rsidP="009E7A43">
      <w:r>
        <w:t xml:space="preserve">At the moment, </w:t>
      </w:r>
      <w:r w:rsidR="00743E32">
        <w:t xml:space="preserve">people seeking legal aid have to provide documentary proof of income and assets, unless they are in custody. VCOSS supports waiving this requirement for a broader group of people who may find it very difficult to </w:t>
      </w:r>
      <w:r w:rsidR="00FB2A44">
        <w:t>provide</w:t>
      </w:r>
      <w:r w:rsidR="00743E32">
        <w:t xml:space="preserve"> documentary proof of means, or whose safety and wellbeing may be compromised if they try to obtain documentary proof. </w:t>
      </w:r>
      <w:r w:rsidR="00870931">
        <w:t>For example, w</w:t>
      </w:r>
      <w:r w:rsidR="00743E32">
        <w:t xml:space="preserve">e support the proposed waiver </w:t>
      </w:r>
      <w:r w:rsidR="00FB2A44">
        <w:t xml:space="preserve">for </w:t>
      </w:r>
      <w:r w:rsidR="00743E32">
        <w:t xml:space="preserve">people experiencing homelessness, people residing away from their usual accommodation due to family violence, and people </w:t>
      </w:r>
      <w:r w:rsidR="005E009D">
        <w:t xml:space="preserve">living in remote areas. However, we suggest the </w:t>
      </w:r>
      <w:r w:rsidR="00EE3AEE">
        <w:t xml:space="preserve">waiver apply </w:t>
      </w:r>
      <w:r w:rsidR="005E009D">
        <w:t xml:space="preserve">to </w:t>
      </w:r>
      <w:r w:rsidR="00EE3AEE">
        <w:t xml:space="preserve">all </w:t>
      </w:r>
      <w:r w:rsidR="005E009D">
        <w:t xml:space="preserve">family violence victims, who </w:t>
      </w:r>
      <w:r w:rsidR="00EE3AEE">
        <w:t xml:space="preserve">may be at greater risk of harm if requests to banks, employers and others alert the perpetrator that the victim is seeking help (particularly in small communities). It may also be practically impossible for a family violence victim to seek documentary proof of means when </w:t>
      </w:r>
      <w:r w:rsidR="00870931">
        <w:t>they</w:t>
      </w:r>
      <w:r w:rsidR="00EE3AEE">
        <w:t xml:space="preserve"> urgently need legal assistance</w:t>
      </w:r>
      <w:r w:rsidR="000472AE">
        <w:t xml:space="preserve"> (for example</w:t>
      </w:r>
      <w:r w:rsidR="00870931">
        <w:t xml:space="preserve"> if they have fled their home </w:t>
      </w:r>
      <w:r w:rsidR="000C328F">
        <w:t xml:space="preserve">in an emergency, </w:t>
      </w:r>
      <w:r w:rsidR="00870931">
        <w:t>without any</w:t>
      </w:r>
      <w:r w:rsidR="000C328F">
        <w:t xml:space="preserve"> belongings</w:t>
      </w:r>
      <w:r w:rsidR="00870931">
        <w:t>)</w:t>
      </w:r>
      <w:r w:rsidR="00EE3AEE">
        <w:t>.</w:t>
      </w:r>
    </w:p>
    <w:p w:rsidR="00EE3AEE" w:rsidRDefault="00072CA9" w:rsidP="00072CA9">
      <w:pPr>
        <w:pStyle w:val="Heading2"/>
      </w:pPr>
      <w:bookmarkStart w:id="4" w:name="_Toc486257347"/>
      <w:r>
        <w:t>Fairly assess the incomes of people with irregular work</w:t>
      </w:r>
      <w:bookmarkEnd w:id="4"/>
    </w:p>
    <w:p w:rsidR="00072CA9" w:rsidRDefault="00050FAD" w:rsidP="00072CA9">
      <w:r>
        <w:t>VLA suggests</w:t>
      </w:r>
      <w:r w:rsidR="000E7BD4">
        <w:t xml:space="preserve"> </w:t>
      </w:r>
      <w:r w:rsidR="00072CA9">
        <w:t xml:space="preserve">income assessments could better reflect changing workforce patterns, including the greater proportion of people in casual or irregular work. </w:t>
      </w:r>
      <w:r w:rsidR="000E7BD4">
        <w:t xml:space="preserve">To </w:t>
      </w:r>
      <w:r w:rsidR="00072CA9">
        <w:t xml:space="preserve">provide a true picture of an applicant’s income, </w:t>
      </w:r>
      <w:r w:rsidR="000E7BD4">
        <w:t xml:space="preserve">VLA </w:t>
      </w:r>
      <w:r>
        <w:t>proposes</w:t>
      </w:r>
      <w:r w:rsidR="000E7BD4">
        <w:t xml:space="preserve"> </w:t>
      </w:r>
      <w:r w:rsidR="00072CA9">
        <w:t>documentary proof of income could be extended from three months to six</w:t>
      </w:r>
      <w:r>
        <w:t xml:space="preserve"> months</w:t>
      </w:r>
      <w:r w:rsidR="005C4DCB">
        <w:t xml:space="preserve"> or potentially </w:t>
      </w:r>
      <w:r w:rsidR="00072CA9">
        <w:t>12 months, on the basis this ‘may more accurately reflect an applicant’s income and their ability to pay for a lawyer’.</w:t>
      </w:r>
      <w:r w:rsidR="00072CA9">
        <w:rPr>
          <w:rStyle w:val="FootnoteReference"/>
        </w:rPr>
        <w:footnoteReference w:id="8"/>
      </w:r>
    </w:p>
    <w:p w:rsidR="00CF7339" w:rsidRDefault="009C1D05" w:rsidP="00072CA9">
      <w:r>
        <w:t xml:space="preserve">VCOSS </w:t>
      </w:r>
      <w:r w:rsidR="00CF7339">
        <w:t>supports this option, provided VLA takes into account the unique circumstances of people in irregular work</w:t>
      </w:r>
      <w:r w:rsidR="00FB2A44">
        <w:t>.</w:t>
      </w:r>
      <w:r w:rsidR="00CF7339">
        <w:t xml:space="preserve"> VLA should ensure people with irregular incomes are allowed to quarantine a reasonable amount of income for future use.</w:t>
      </w:r>
      <w:r w:rsidR="00B84C5E">
        <w:t xml:space="preserve"> </w:t>
      </w:r>
      <w:r w:rsidR="00CF7339">
        <w:t>For example, while a person’s earnings from six months’ seasonal work may indicate sufficient income to pay for legal services, these earning</w:t>
      </w:r>
      <w:r w:rsidR="00097FFD">
        <w:t>s may be needed over 12 months. Also, for</w:t>
      </w:r>
      <w:r w:rsidR="00B84C5E">
        <w:t xml:space="preserve"> people working in casual or contingent roles (including in the ‘gig’ economy)</w:t>
      </w:r>
      <w:r w:rsidR="00050FAD">
        <w:t>, past income could be</w:t>
      </w:r>
      <w:r w:rsidR="000E7BD4">
        <w:t xml:space="preserve"> an unreliable indicator of future income</w:t>
      </w:r>
      <w:r w:rsidR="00453FE4">
        <w:t xml:space="preserve"> and capacity to pay for </w:t>
      </w:r>
      <w:r w:rsidR="000E7BD4">
        <w:t xml:space="preserve">legal services. </w:t>
      </w:r>
      <w:r w:rsidR="00CF7339">
        <w:t xml:space="preserve"> </w:t>
      </w:r>
    </w:p>
    <w:p w:rsidR="00FB2A44" w:rsidRDefault="0005272A" w:rsidP="00AE3D60">
      <w:pPr>
        <w:pStyle w:val="Heading2"/>
      </w:pPr>
      <w:bookmarkStart w:id="5" w:name="_Toc486257348"/>
      <w:r>
        <w:t>Use</w:t>
      </w:r>
      <w:r w:rsidR="000275A3">
        <w:t xml:space="preserve"> </w:t>
      </w:r>
      <w:r>
        <w:t xml:space="preserve">an </w:t>
      </w:r>
      <w:r w:rsidR="000275A3">
        <w:t>appropriate measure of low incomes</w:t>
      </w:r>
      <w:bookmarkEnd w:id="5"/>
    </w:p>
    <w:p w:rsidR="00F41D5B" w:rsidRDefault="00F41D5B" w:rsidP="00F41D5B">
      <w:r>
        <w:t>At the moment, people are eligible for legal aid (without having to make a financial contribution) if their weekly income is $360 or less, following deductions for housing and the costs of carin</w:t>
      </w:r>
      <w:r w:rsidR="00CE56DA">
        <w:t>g for children and other dependa</w:t>
      </w:r>
      <w:r>
        <w:t>nts.</w:t>
      </w:r>
      <w:r w:rsidR="00CE56DA">
        <w:t xml:space="preserve"> VLA proposes</w:t>
      </w:r>
      <w:r w:rsidR="009356EC">
        <w:t xml:space="preserve"> increasing the allowable income threshold from $360 per week, so </w:t>
      </w:r>
      <w:r>
        <w:t>more people on low inco</w:t>
      </w:r>
      <w:r w:rsidR="00CE56DA">
        <w:t>mes can</w:t>
      </w:r>
      <w:r>
        <w:t xml:space="preserve"> receive legal aid. As VLA notes in </w:t>
      </w:r>
      <w:r w:rsidR="009356EC">
        <w:t>the</w:t>
      </w:r>
      <w:r>
        <w:t xml:space="preserve"> Options Paper</w:t>
      </w:r>
      <w:r w:rsidR="00AD0F2F">
        <w:t xml:space="preserve"> Part A</w:t>
      </w:r>
      <w:r>
        <w:t>, this is particularly relevant for people who rely on low-waged employment income.</w:t>
      </w:r>
    </w:p>
    <w:p w:rsidR="000C328F" w:rsidRDefault="000C328F" w:rsidP="00162EF9"/>
    <w:p w:rsidR="00162EF9" w:rsidRDefault="00162EF9" w:rsidP="00162EF9">
      <w:r>
        <w:lastRenderedPageBreak/>
        <w:t>VLA’s current income threshold is based on the Henderson</w:t>
      </w:r>
      <w:r w:rsidR="00AB50D7">
        <w:t xml:space="preserve"> Poverty Line.</w:t>
      </w:r>
      <w:r>
        <w:t xml:space="preserve"> VLA proposes two potential ways of increasing the allowable income threshold:</w:t>
      </w:r>
    </w:p>
    <w:p w:rsidR="00162EF9" w:rsidRDefault="00162EF9" w:rsidP="00162EF9">
      <w:pPr>
        <w:pStyle w:val="ListParagraph"/>
        <w:numPr>
          <w:ilvl w:val="0"/>
          <w:numId w:val="15"/>
        </w:numPr>
      </w:pPr>
      <w:r>
        <w:t>increasing the threshold to 110 per cent of the Henderson Poverty Line, whic</w:t>
      </w:r>
      <w:r w:rsidR="00945F94">
        <w:t>h would raise the current allowable income</w:t>
      </w:r>
      <w:r>
        <w:t xml:space="preserve"> from $360 to $390 per week</w:t>
      </w:r>
      <w:r w:rsidR="00945F94">
        <w:t>, or</w:t>
      </w:r>
    </w:p>
    <w:p w:rsidR="00945F94" w:rsidRPr="00AE3D60" w:rsidRDefault="00945F94" w:rsidP="00162EF9">
      <w:pPr>
        <w:pStyle w:val="ListParagraph"/>
        <w:numPr>
          <w:ilvl w:val="0"/>
          <w:numId w:val="15"/>
        </w:numPr>
      </w:pPr>
      <w:proofErr w:type="gramStart"/>
      <w:r>
        <w:t>set</w:t>
      </w:r>
      <w:r w:rsidR="006D4DC1">
        <w:t>ting</w:t>
      </w:r>
      <w:proofErr w:type="gramEnd"/>
      <w:r>
        <w:t xml:space="preserve"> the income threshold at 110 per cent of the OECD Relative Poverty Line, which would raise the current allowable income from $360</w:t>
      </w:r>
      <w:r w:rsidR="00E43274">
        <w:t xml:space="preserve"> to approximately $469 per week.</w:t>
      </w:r>
    </w:p>
    <w:p w:rsidR="006C3D91" w:rsidRDefault="006C3D91" w:rsidP="006C3D91">
      <w:r>
        <w:t>The OECD Relative Poverty Line measures poverty as a percentage of a country’s median after-ta</w:t>
      </w:r>
      <w:r w:rsidR="003765B3">
        <w:t xml:space="preserve">x household income. This widely </w:t>
      </w:r>
      <w:r>
        <w:t xml:space="preserve">accepted method is used by the Australian Council of Social </w:t>
      </w:r>
      <w:r w:rsidR="000275A3">
        <w:t xml:space="preserve">Service (ACOSS). </w:t>
      </w:r>
      <w:r>
        <w:t>ACOSS defines the poverty line as either 50 per cent or 60 per cent of median household income, a common measure used internationally. As ACOSS states:</w:t>
      </w:r>
    </w:p>
    <w:p w:rsidR="006C3D91" w:rsidRDefault="006C3D91" w:rsidP="00B40991">
      <w:pPr>
        <w:ind w:left="720" w:right="276"/>
      </w:pPr>
      <w:r w:rsidRPr="000275A3">
        <w:rPr>
          <w:sz w:val="20"/>
        </w:rPr>
        <w:t>This approach means that the poverty lines rise or fall in accordance with changes in the income (including wages and any government benefits) of the median household. That is, the poverty lines aim to measure living standards relative to those enjoyed by ‘middle Australia’. This is appropriate, given the cost of achieving an acceptable standard of living varies over time and between countries as living standards rise or fall</w:t>
      </w:r>
      <w:r>
        <w:t>.</w:t>
      </w:r>
      <w:r w:rsidR="009149B7">
        <w:rPr>
          <w:rStyle w:val="FootnoteReference"/>
        </w:rPr>
        <w:footnoteReference w:id="9"/>
      </w:r>
    </w:p>
    <w:p w:rsidR="006C3D91" w:rsidRDefault="0005272A" w:rsidP="006C3D91">
      <w:r>
        <w:t xml:space="preserve">Using the 50 per cent of </w:t>
      </w:r>
      <w:r w:rsidR="003765B3">
        <w:t xml:space="preserve">median </w:t>
      </w:r>
      <w:r>
        <w:t>household income measure, i</w:t>
      </w:r>
      <w:r w:rsidR="000275A3" w:rsidRPr="0005272A">
        <w:t>n</w:t>
      </w:r>
      <w:r w:rsidR="006C3D91" w:rsidRPr="0005272A">
        <w:t xml:space="preserve"> 2013-14 </w:t>
      </w:r>
      <w:r w:rsidR="000275A3" w:rsidRPr="0005272A">
        <w:t>t</w:t>
      </w:r>
      <w:r w:rsidR="00C03C08" w:rsidRPr="0005272A">
        <w:t>he poverty line for a single person was $426 per week after tax and before housing costs. For a lone parent with two children, it was $682 per week after tax and before housing costs.</w:t>
      </w:r>
      <w:r w:rsidR="00BA05B9" w:rsidRPr="0005272A">
        <w:t xml:space="preserve"> ACOSS also measures the post-housing costs poverty lin</w:t>
      </w:r>
      <w:r w:rsidR="00EC4D4C">
        <w:t>e, which was $343 per we</w:t>
      </w:r>
      <w:r w:rsidR="003765B3">
        <w:t>ek for a single person, and $548</w:t>
      </w:r>
      <w:r w:rsidR="00EC4D4C">
        <w:t xml:space="preserve"> for a </w:t>
      </w:r>
      <w:r w:rsidR="003765B3">
        <w:t>lone parent</w:t>
      </w:r>
      <w:r w:rsidR="00EC4D4C">
        <w:t xml:space="preserve"> with two children.</w:t>
      </w:r>
      <w:r w:rsidR="00EC4D4C" w:rsidRPr="0005272A">
        <w:rPr>
          <w:rStyle w:val="FootnoteReference"/>
        </w:rPr>
        <w:footnoteReference w:id="10"/>
      </w:r>
    </w:p>
    <w:p w:rsidR="00AD0F2F" w:rsidRDefault="000275A3" w:rsidP="00BA05B9">
      <w:r>
        <w:t xml:space="preserve">VCOSS considers the relative poverty line a reliable measure of poverty in Australia. However, </w:t>
      </w:r>
      <w:r w:rsidR="00BA05B9">
        <w:t xml:space="preserve">we understand VLA aims to assist a broader group of people on low incomes—not just those in poverty—which </w:t>
      </w:r>
      <w:r w:rsidR="000E5801">
        <w:t>may mean income thresholds</w:t>
      </w:r>
      <w:r w:rsidR="00BA05B9">
        <w:t xml:space="preserve"> need </w:t>
      </w:r>
      <w:r w:rsidR="0005272A">
        <w:t>to be based on another</w:t>
      </w:r>
      <w:r w:rsidR="00BA05B9">
        <w:t xml:space="preserve"> measure, such as Australian Bureau of Statistics’ measures of household income.</w:t>
      </w:r>
    </w:p>
    <w:p w:rsidR="006225D1" w:rsidRDefault="00BA05B9" w:rsidP="00BA05B9">
      <w:r>
        <w:t xml:space="preserve">We also note the </w:t>
      </w:r>
      <w:r w:rsidR="00A04DCE">
        <w:t>relative poverty line represents post-tax income available</w:t>
      </w:r>
      <w:r w:rsidR="00A42CB9">
        <w:t xml:space="preserve"> </w:t>
      </w:r>
      <w:r w:rsidR="00EC4D4C">
        <w:t>for essential living expenses (</w:t>
      </w:r>
      <w:r w:rsidR="00401DD7">
        <w:t>or</w:t>
      </w:r>
      <w:r w:rsidR="0005272A">
        <w:t xml:space="preserve"> the inco</w:t>
      </w:r>
      <w:r w:rsidR="00EC4D4C">
        <w:t>me available post-housing costs)</w:t>
      </w:r>
      <w:r w:rsidR="00AD0F2F">
        <w:t>. However</w:t>
      </w:r>
      <w:r w:rsidR="00EC4D4C">
        <w:t>,</w:t>
      </w:r>
      <w:r w:rsidR="00A04DCE">
        <w:t xml:space="preserve"> the VLA allowable income threshold represents net disposable income after deducti</w:t>
      </w:r>
      <w:r>
        <w:t xml:space="preserve">ons for housing, child </w:t>
      </w:r>
      <w:r w:rsidR="00401DD7">
        <w:t>care</w:t>
      </w:r>
      <w:r>
        <w:t xml:space="preserve"> and dependant costs. </w:t>
      </w:r>
      <w:r w:rsidR="0082411F">
        <w:t xml:space="preserve">As the measures take into account different things, a direct comparison of the two measures is difficult (that is, one of the measures takes into account income for all essential expenses after housing costs and the other takes into account income left after housing costs, child care and dependent expenses are deducted). </w:t>
      </w:r>
      <w:r>
        <w:t xml:space="preserve">It may be </w:t>
      </w:r>
      <w:r w:rsidR="0005272A">
        <w:t xml:space="preserve">necessary </w:t>
      </w:r>
      <w:r>
        <w:t>for VLA to further explore appropriate measures of low incomes</w:t>
      </w:r>
      <w:r w:rsidR="0082411F">
        <w:t xml:space="preserve"> </w:t>
      </w:r>
      <w:r>
        <w:t>to ensure income thresholds reflect the circumstances of people VLA is aiming to assist.</w:t>
      </w:r>
    </w:p>
    <w:p w:rsidR="001A56B8" w:rsidRDefault="00606285" w:rsidP="00D14BE9">
      <w:pPr>
        <w:pStyle w:val="Heading2"/>
      </w:pPr>
      <w:bookmarkStart w:id="6" w:name="_Toc486257349"/>
      <w:r>
        <w:lastRenderedPageBreak/>
        <w:t xml:space="preserve">Increase the range and </w:t>
      </w:r>
      <w:r w:rsidR="000734D9">
        <w:t>value of living cost deductions</w:t>
      </w:r>
      <w:bookmarkEnd w:id="6"/>
    </w:p>
    <w:p w:rsidR="00E409FF" w:rsidRDefault="00E409FF" w:rsidP="00072CA9">
      <w:r>
        <w:t>VLA allows certain expenses to be taken into account to determine a person’s allowable income</w:t>
      </w:r>
      <w:r w:rsidR="00700279">
        <w:t xml:space="preserve"> and their capacity to pay for legal services</w:t>
      </w:r>
      <w:r w:rsidR="00870931">
        <w:t>, including:</w:t>
      </w:r>
      <w:r>
        <w:t xml:space="preserve"> </w:t>
      </w:r>
    </w:p>
    <w:p w:rsidR="00DD3713" w:rsidRDefault="00E409FF" w:rsidP="00E409FF">
      <w:pPr>
        <w:pStyle w:val="ListParagraph"/>
        <w:numPr>
          <w:ilvl w:val="0"/>
          <w:numId w:val="16"/>
        </w:numPr>
      </w:pPr>
      <w:r>
        <w:t>housing costs (to a maximum of $400 per week for inner, middle and metropolitan areas; less for other areas, including regional areas)</w:t>
      </w:r>
    </w:p>
    <w:p w:rsidR="00E409FF" w:rsidRDefault="00E409FF" w:rsidP="00E409FF">
      <w:pPr>
        <w:pStyle w:val="ListParagraph"/>
        <w:numPr>
          <w:ilvl w:val="0"/>
          <w:numId w:val="16"/>
        </w:numPr>
      </w:pPr>
      <w:r>
        <w:t>childcare costs (to a maximum of $310 per household per week)</w:t>
      </w:r>
    </w:p>
    <w:p w:rsidR="00E409FF" w:rsidRDefault="00E409FF" w:rsidP="00E409FF">
      <w:pPr>
        <w:pStyle w:val="ListParagraph"/>
        <w:numPr>
          <w:ilvl w:val="0"/>
          <w:numId w:val="16"/>
        </w:numPr>
      </w:pPr>
      <w:r>
        <w:t xml:space="preserve">dependants ($130 </w:t>
      </w:r>
      <w:r w:rsidR="004F5570">
        <w:t xml:space="preserve">per week </w:t>
      </w:r>
      <w:r>
        <w:t>for the first dependant; $125 for any other dependants)</w:t>
      </w:r>
    </w:p>
    <w:p w:rsidR="000472AE" w:rsidRDefault="00E409FF" w:rsidP="000472AE">
      <w:pPr>
        <w:pStyle w:val="ListParagraph"/>
        <w:numPr>
          <w:ilvl w:val="0"/>
          <w:numId w:val="16"/>
        </w:numPr>
      </w:pPr>
      <w:proofErr w:type="gramStart"/>
      <w:r>
        <w:t>maintenance</w:t>
      </w:r>
      <w:proofErr w:type="gramEnd"/>
      <w:r>
        <w:t xml:space="preserve"> or child support payments (to a maximum of $130 </w:t>
      </w:r>
      <w:r w:rsidR="004F5570">
        <w:t xml:space="preserve">per week </w:t>
      </w:r>
      <w:r>
        <w:t>for the first child and $125 for any other children).</w:t>
      </w:r>
    </w:p>
    <w:p w:rsidR="00E409FF" w:rsidRDefault="00E409FF" w:rsidP="000472AE">
      <w:r>
        <w:t>‘Weekly housing costs’ include rent, mortgage instalments and local government rates.</w:t>
      </w:r>
    </w:p>
    <w:p w:rsidR="00E409FF" w:rsidRDefault="00E409FF" w:rsidP="00072CA9">
      <w:r>
        <w:t xml:space="preserve">VCOSS supports increasing the range of </w:t>
      </w:r>
      <w:r w:rsidR="00870931">
        <w:t xml:space="preserve">allowable </w:t>
      </w:r>
      <w:r>
        <w:t xml:space="preserve">deductions, in order to capture </w:t>
      </w:r>
      <w:r w:rsidR="009F40DB">
        <w:t>the breadth</w:t>
      </w:r>
      <w:r w:rsidR="00F50283">
        <w:t xml:space="preserve"> of</w:t>
      </w:r>
      <w:r w:rsidR="009F40DB">
        <w:t xml:space="preserve"> essential</w:t>
      </w:r>
      <w:r w:rsidR="00F50283">
        <w:t xml:space="preserve"> </w:t>
      </w:r>
      <w:r w:rsidR="00F94039">
        <w:t>living expenses</w:t>
      </w:r>
      <w:r w:rsidR="00F50283">
        <w:t xml:space="preserve">, </w:t>
      </w:r>
      <w:r w:rsidR="009F40DB">
        <w:t xml:space="preserve">and </w:t>
      </w:r>
      <w:r>
        <w:t xml:space="preserve">help to </w:t>
      </w:r>
      <w:r w:rsidR="004B3256">
        <w:t xml:space="preserve">properly </w:t>
      </w:r>
      <w:r>
        <w:t>bring people’s incomes within the allowable limit</w:t>
      </w:r>
      <w:r w:rsidR="009F40DB">
        <w:t>. Deductions should be available for:</w:t>
      </w:r>
    </w:p>
    <w:p w:rsidR="00F50283" w:rsidRDefault="00F50283" w:rsidP="00F50283">
      <w:pPr>
        <w:pStyle w:val="ListParagraph"/>
        <w:numPr>
          <w:ilvl w:val="0"/>
          <w:numId w:val="17"/>
        </w:numPr>
      </w:pPr>
      <w:r>
        <w:t>regular medical expenses</w:t>
      </w:r>
    </w:p>
    <w:p w:rsidR="009F40DB" w:rsidRDefault="009F40DB" w:rsidP="00F50283">
      <w:pPr>
        <w:pStyle w:val="ListParagraph"/>
        <w:numPr>
          <w:ilvl w:val="0"/>
          <w:numId w:val="17"/>
        </w:numPr>
      </w:pPr>
      <w:r>
        <w:t>transport costs</w:t>
      </w:r>
    </w:p>
    <w:p w:rsidR="009F40DB" w:rsidRDefault="009F40DB" w:rsidP="00F50283">
      <w:pPr>
        <w:pStyle w:val="ListParagraph"/>
        <w:numPr>
          <w:ilvl w:val="0"/>
          <w:numId w:val="17"/>
        </w:numPr>
      </w:pPr>
      <w:r>
        <w:t>food costs</w:t>
      </w:r>
    </w:p>
    <w:p w:rsidR="00F50283" w:rsidRDefault="00F50283" w:rsidP="00F50283">
      <w:pPr>
        <w:pStyle w:val="ListParagraph"/>
        <w:numPr>
          <w:ilvl w:val="0"/>
          <w:numId w:val="17"/>
        </w:numPr>
      </w:pPr>
      <w:r>
        <w:t>utility bill</w:t>
      </w:r>
      <w:r w:rsidR="000C328F">
        <w:t>s</w:t>
      </w:r>
      <w:r>
        <w:t xml:space="preserve">, including electricity, gas, water and telecommunication/internet costs (the latter is increasingly regarded as an essential service, necessary for day-to-day and emergency communications, engaging with Centrelink, children’s education </w:t>
      </w:r>
      <w:proofErr w:type="spellStart"/>
      <w:r>
        <w:t>etc</w:t>
      </w:r>
      <w:proofErr w:type="spellEnd"/>
      <w:r>
        <w:t>)</w:t>
      </w:r>
    </w:p>
    <w:p w:rsidR="009F40DB" w:rsidRDefault="009F40DB" w:rsidP="00F50283">
      <w:pPr>
        <w:pStyle w:val="ListParagraph"/>
        <w:numPr>
          <w:ilvl w:val="0"/>
          <w:numId w:val="17"/>
        </w:numPr>
      </w:pPr>
      <w:r>
        <w:t>reasonable education expenses</w:t>
      </w:r>
    </w:p>
    <w:p w:rsidR="00EB1325" w:rsidRDefault="00EB1325" w:rsidP="00EB1325">
      <w:pPr>
        <w:pStyle w:val="ListParagraph"/>
        <w:numPr>
          <w:ilvl w:val="0"/>
          <w:numId w:val="17"/>
        </w:numPr>
      </w:pPr>
      <w:r>
        <w:t xml:space="preserve">credit and personal loan debt, </w:t>
      </w:r>
      <w:r w:rsidR="00EE3E30">
        <w:t xml:space="preserve">particularly </w:t>
      </w:r>
      <w:r>
        <w:t>whe</w:t>
      </w:r>
      <w:r w:rsidR="004B3256">
        <w:t xml:space="preserve">re linked to </w:t>
      </w:r>
      <w:r w:rsidR="00C86163">
        <w:t xml:space="preserve">essential </w:t>
      </w:r>
      <w:r w:rsidR="004B3256">
        <w:t>household expenses</w:t>
      </w:r>
      <w:r>
        <w:t xml:space="preserve"> such as utility bill payments</w:t>
      </w:r>
    </w:p>
    <w:p w:rsidR="00CD3DD6" w:rsidRDefault="00F50283" w:rsidP="00C86163">
      <w:pPr>
        <w:pStyle w:val="ListParagraph"/>
        <w:numPr>
          <w:ilvl w:val="0"/>
          <w:numId w:val="17"/>
        </w:numPr>
      </w:pPr>
      <w:proofErr w:type="gramStart"/>
      <w:r>
        <w:t>othe</w:t>
      </w:r>
      <w:r w:rsidR="00CD3DD6">
        <w:t>r</w:t>
      </w:r>
      <w:proofErr w:type="gramEnd"/>
      <w:r w:rsidR="00CD3DD6">
        <w:t xml:space="preserve"> reasonable household expenses</w:t>
      </w:r>
      <w:r w:rsidR="00C86163">
        <w:t xml:space="preserve"> and </w:t>
      </w:r>
      <w:r w:rsidR="00CD3DD6">
        <w:t>regular payments, such as fines debt.</w:t>
      </w:r>
    </w:p>
    <w:p w:rsidR="00CD3DD6" w:rsidRDefault="00CD3DD6" w:rsidP="00072CA9">
      <w:r>
        <w:t xml:space="preserve">VCOSS supports increasing the childcare </w:t>
      </w:r>
      <w:r w:rsidR="00EE3E30">
        <w:t>deduction by providing a set amount</w:t>
      </w:r>
      <w:r>
        <w:t xml:space="preserve"> for each child and not capping the number of children cal</w:t>
      </w:r>
      <w:r w:rsidR="00EE3E30">
        <w:t>culated</w:t>
      </w:r>
      <w:r>
        <w:t>.</w:t>
      </w:r>
      <w:r w:rsidR="00C86163">
        <w:t xml:space="preserve"> </w:t>
      </w:r>
    </w:p>
    <w:p w:rsidR="005F7E28" w:rsidRDefault="009343AE" w:rsidP="00072CA9">
      <w:r>
        <w:t>As a ‘bigger change’</w:t>
      </w:r>
      <w:r w:rsidR="004F5570">
        <w:t>,</w:t>
      </w:r>
      <w:r>
        <w:t xml:space="preserve"> VLA has </w:t>
      </w:r>
      <w:r w:rsidR="004F5570">
        <w:t>suggested a</w:t>
      </w:r>
      <w:r>
        <w:t xml:space="preserve"> standardised household expenditure allowance, which would incorporate utility, food and other expenses, and could be adjusted according</w:t>
      </w:r>
      <w:r w:rsidR="00D05999">
        <w:t xml:space="preserve"> to the number of </w:t>
      </w:r>
      <w:r>
        <w:t>household</w:t>
      </w:r>
      <w:r w:rsidR="00D05999">
        <w:t xml:space="preserve"> dependants</w:t>
      </w:r>
      <w:r>
        <w:t xml:space="preserve">. This would make the </w:t>
      </w:r>
      <w:r w:rsidR="00DE69C3">
        <w:t xml:space="preserve">application process easier, but may make the </w:t>
      </w:r>
      <w:r w:rsidR="00F25522">
        <w:t>means test less fair if</w:t>
      </w:r>
      <w:r w:rsidR="004F5570">
        <w:t xml:space="preserve"> it</w:t>
      </w:r>
      <w:r w:rsidR="00DE69C3">
        <w:t xml:space="preserve"> does not adequately capture the high</w:t>
      </w:r>
      <w:r w:rsidR="00F25522">
        <w:t>er</w:t>
      </w:r>
      <w:r w:rsidR="007A4AC6">
        <w:t xml:space="preserve"> living</w:t>
      </w:r>
      <w:r w:rsidR="00DE69C3">
        <w:t xml:space="preserve"> costs faced by low</w:t>
      </w:r>
      <w:r w:rsidR="004F5570">
        <w:t xml:space="preserve"> income households</w:t>
      </w:r>
      <w:r w:rsidR="00DE69C3">
        <w:t>. For example, low income</w:t>
      </w:r>
      <w:r w:rsidR="004F5570">
        <w:t xml:space="preserve"> households</w:t>
      </w:r>
      <w:r w:rsidR="00F5215E">
        <w:t xml:space="preserve"> (particularly those with children)</w:t>
      </w:r>
      <w:r w:rsidR="004F5570">
        <w:t xml:space="preserve"> are at risk of higher than average </w:t>
      </w:r>
      <w:r w:rsidR="00DE69C3">
        <w:t>energy bills, partly due to poor qual</w:t>
      </w:r>
      <w:r w:rsidR="004F5570">
        <w:t>ity, energy inefficient housing. People on low incomes can also face higher than average transport costs if</w:t>
      </w:r>
      <w:r w:rsidR="00F5215E">
        <w:t xml:space="preserve"> they are</w:t>
      </w:r>
      <w:r w:rsidR="004F5570">
        <w:t xml:space="preserve"> living on the urban fringe or in areas poorly serviced by public transport. Debt servicing may also be more expensive for low income househol</w:t>
      </w:r>
      <w:r w:rsidR="007A4AC6">
        <w:t xml:space="preserve">ds if </w:t>
      </w:r>
      <w:r w:rsidR="004F5570">
        <w:t>people have taken on high-interest ‘payday’ loans</w:t>
      </w:r>
      <w:r w:rsidR="007A4AC6">
        <w:t xml:space="preserve"> and other fringe lending products</w:t>
      </w:r>
      <w:r w:rsidR="004F5570">
        <w:t>.</w:t>
      </w:r>
      <w:r w:rsidR="00F25522">
        <w:t xml:space="preserve"> </w:t>
      </w:r>
    </w:p>
    <w:p w:rsidR="009343AE" w:rsidRDefault="00F25522" w:rsidP="00072CA9">
      <w:r>
        <w:t xml:space="preserve">For these </w:t>
      </w:r>
      <w:r w:rsidR="007A4AC6">
        <w:t xml:space="preserve">reasons, any standardised household expenditure measure would need to be carefully set by reference to the particular living costs of low income households. Applicants would also </w:t>
      </w:r>
      <w:r w:rsidR="007A4AC6">
        <w:lastRenderedPageBreak/>
        <w:t>need to be encouraged to identify areas</w:t>
      </w:r>
      <w:r w:rsidR="00693407">
        <w:t xml:space="preserve"> of household expenditure</w:t>
      </w:r>
      <w:r w:rsidR="007A4AC6">
        <w:t xml:space="preserve"> where costs are particularly high, and allowed to deduct higher amounts where necessary. </w:t>
      </w:r>
    </w:p>
    <w:p w:rsidR="000734D9" w:rsidRDefault="000734D9" w:rsidP="006646C0">
      <w:pPr>
        <w:pStyle w:val="Heading2"/>
      </w:pPr>
      <w:bookmarkStart w:id="7" w:name="_Toc486257350"/>
      <w:r>
        <w:t xml:space="preserve">Expand the meaning of ‘dependant’ and increase </w:t>
      </w:r>
      <w:r w:rsidR="00C86163">
        <w:t xml:space="preserve">the </w:t>
      </w:r>
      <w:r>
        <w:t>dependant allowance</w:t>
      </w:r>
      <w:bookmarkEnd w:id="7"/>
    </w:p>
    <w:p w:rsidR="00870931" w:rsidRDefault="00B675CE" w:rsidP="000472AE">
      <w:pPr>
        <w:spacing w:before="240"/>
      </w:pPr>
      <w:r>
        <w:t>A dependa</w:t>
      </w:r>
      <w:r w:rsidR="00F25522">
        <w:t>nt is currently defined as anyone who relies on the applicant for financial support, which VLA interprets as</w:t>
      </w:r>
      <w:r w:rsidR="00093E77">
        <w:t xml:space="preserve"> a</w:t>
      </w:r>
      <w:r w:rsidR="00F25522">
        <w:t xml:space="preserve"> person, such as </w:t>
      </w:r>
      <w:r w:rsidR="00693407">
        <w:t xml:space="preserve">a </w:t>
      </w:r>
      <w:r w:rsidR="00F25522">
        <w:t xml:space="preserve">child or elderly parent, who lives with the applicant. VLA suggests expanding this definition to include any person whom the applicant supports financially. </w:t>
      </w:r>
    </w:p>
    <w:p w:rsidR="00C86163" w:rsidRDefault="00F25522" w:rsidP="000472AE">
      <w:pPr>
        <w:spacing w:before="240"/>
      </w:pPr>
      <w:r>
        <w:t>We support t</w:t>
      </w:r>
      <w:r w:rsidR="003450A5">
        <w:t>his expanded definition and agree it would</w:t>
      </w:r>
      <w:r w:rsidR="00093E77">
        <w:t xml:space="preserve"> better reflect diverse</w:t>
      </w:r>
      <w:r w:rsidR="003450A5">
        <w:t xml:space="preserve"> family and</w:t>
      </w:r>
      <w:r w:rsidR="00917CFE">
        <w:t xml:space="preserve"> financial</w:t>
      </w:r>
      <w:r w:rsidR="003450A5">
        <w:t xml:space="preserve"> support structures in Australia, including among Aboriginal and Torres Strait Islander people and people from culturally and linguistically diverse backgrounds.</w:t>
      </w:r>
      <w:r w:rsidR="00093E77">
        <w:t xml:space="preserve"> In this respect, VCOSS members note people</w:t>
      </w:r>
      <w:r w:rsidR="00C86163">
        <w:t xml:space="preserve"> may have dependa</w:t>
      </w:r>
      <w:r w:rsidR="003450A5">
        <w:t xml:space="preserve">nts not just in Australia but overseas who are relying on the applicant’s </w:t>
      </w:r>
      <w:r w:rsidR="00917CFE">
        <w:t>financial support, which should be taken into account under the income test.</w:t>
      </w:r>
    </w:p>
    <w:p w:rsidR="00185B24" w:rsidRDefault="00917CFE" w:rsidP="00C86163">
      <w:r>
        <w:t>VCOSS also sup</w:t>
      </w:r>
      <w:r w:rsidR="00175AFA">
        <w:t>ports an increase to the dependa</w:t>
      </w:r>
      <w:r>
        <w:t>nt allowance, to better reflect modern costs of raising children.</w:t>
      </w:r>
      <w:r w:rsidR="00185B24">
        <w:br w:type="page"/>
      </w:r>
    </w:p>
    <w:p w:rsidR="00917CFE" w:rsidRDefault="008B4385" w:rsidP="00185B24">
      <w:pPr>
        <w:pStyle w:val="Heading1"/>
      </w:pPr>
      <w:bookmarkStart w:id="8" w:name="_Toc486257351"/>
      <w:r>
        <w:lastRenderedPageBreak/>
        <w:t>Create a fairer assets test</w:t>
      </w:r>
      <w:bookmarkEnd w:id="8"/>
    </w:p>
    <w:p w:rsidR="0013085B" w:rsidRDefault="00B675CE" w:rsidP="0013085B">
      <w:r>
        <w:t>Along with income, a</w:t>
      </w:r>
      <w:r w:rsidR="0013085B">
        <w:t xml:space="preserve">ssets are taken into account under the VLA means test. A person may </w:t>
      </w:r>
      <w:r w:rsidR="00BE0E22">
        <w:t xml:space="preserve">be </w:t>
      </w:r>
      <w:r w:rsidR="0013085B">
        <w:t xml:space="preserve">ineligible for legal aid if they own assets exceeding the allowable limits, or they may still qualify if they make a contribution towards their legal costs. Assets include real estate, investments, shares, unpreserved superannuation and other interests. </w:t>
      </w:r>
    </w:p>
    <w:p w:rsidR="0013085B" w:rsidRPr="009257E4" w:rsidRDefault="0013085B" w:rsidP="0013085B">
      <w:r>
        <w:t xml:space="preserve">The allowable assets threshold is </w:t>
      </w:r>
      <w:r w:rsidR="00870931">
        <w:t xml:space="preserve">currently </w:t>
      </w:r>
      <w:r>
        <w:t>$1</w:t>
      </w:r>
      <w:r w:rsidR="00DC10CC">
        <w:t>,</w:t>
      </w:r>
      <w:r>
        <w:t xml:space="preserve">095, which could include modest bank savings. However, a </w:t>
      </w:r>
      <w:r w:rsidR="00BE0E22">
        <w:t xml:space="preserve">person can have up to $500,000 </w:t>
      </w:r>
      <w:r>
        <w:t>equity in the family home and $20,000 equity in a car and still be eligible for legal aid.</w:t>
      </w:r>
      <w:r w:rsidR="00DC10CC">
        <w:t xml:space="preserve"> This creates a disparity between tenants and homeowners in their access to legal aid.</w:t>
      </w:r>
    </w:p>
    <w:p w:rsidR="009257E4" w:rsidRDefault="009257E4" w:rsidP="00511DAC">
      <w:pPr>
        <w:pStyle w:val="Heading2"/>
      </w:pPr>
      <w:bookmarkStart w:id="9" w:name="_Toc486257352"/>
      <w:r>
        <w:t xml:space="preserve">Treat </w:t>
      </w:r>
      <w:r w:rsidR="00B96959">
        <w:t>tenants</w:t>
      </w:r>
      <w:r w:rsidR="00C702EB">
        <w:t xml:space="preserve"> fairly and promote</w:t>
      </w:r>
      <w:r>
        <w:t xml:space="preserve"> financial buffers</w:t>
      </w:r>
      <w:bookmarkEnd w:id="9"/>
    </w:p>
    <w:p w:rsidR="00407DC8" w:rsidRDefault="0013085B" w:rsidP="0013085B">
      <w:r>
        <w:t xml:space="preserve">As VCOSS previously observed in its submission to the 2016 </w:t>
      </w:r>
      <w:r w:rsidR="000472AE">
        <w:t>Discussion P</w:t>
      </w:r>
      <w:r>
        <w:t xml:space="preserve">aper, the current assets test is particularly </w:t>
      </w:r>
      <w:r w:rsidR="00870931">
        <w:t>disadvantageous</w:t>
      </w:r>
      <w:r w:rsidR="00B96959">
        <w:t xml:space="preserve"> </w:t>
      </w:r>
      <w:r w:rsidR="0033247F">
        <w:t xml:space="preserve">for </w:t>
      </w:r>
      <w:r w:rsidR="004D6472">
        <w:t>tenants. It allows people with substantial equity in the family home to acces</w:t>
      </w:r>
      <w:r w:rsidR="00407DC8">
        <w:t>s legal aid, but refuses legal aid to</w:t>
      </w:r>
      <w:r w:rsidR="004D6472">
        <w:t xml:space="preserve"> tenants who have modest savings or other assets</w:t>
      </w:r>
      <w:r w:rsidR="00407DC8">
        <w:t xml:space="preserve"> (or requires a c</w:t>
      </w:r>
      <w:r w:rsidR="002C2804">
        <w:t>ontribution from tenants to legal aid costs</w:t>
      </w:r>
      <w:r w:rsidR="00407DC8">
        <w:t>).</w:t>
      </w:r>
      <w:r>
        <w:t xml:space="preserve"> </w:t>
      </w:r>
    </w:p>
    <w:p w:rsidR="00407DC8" w:rsidRDefault="00407DC8" w:rsidP="0013085B">
      <w:r>
        <w:t>The means test should better recognise the financial</w:t>
      </w:r>
      <w:r w:rsidR="00F5487E">
        <w:t xml:space="preserve"> wellbeing</w:t>
      </w:r>
      <w:r>
        <w:t xml:space="preserve"> of homeowners with substantial equity in their property. While homeowners should not be forced to sell their properties, or have their equity reduced to a level that could compromise financial</w:t>
      </w:r>
      <w:r w:rsidR="00C702EB">
        <w:t xml:space="preserve"> wellbeing, options like equity release</w:t>
      </w:r>
      <w:r w:rsidR="00B675CE">
        <w:t xml:space="preserve"> can</w:t>
      </w:r>
      <w:r w:rsidR="00D45474">
        <w:t xml:space="preserve"> enable </w:t>
      </w:r>
      <w:r w:rsidR="00C702EB">
        <w:t>homeowners to fund a private</w:t>
      </w:r>
      <w:r w:rsidR="00D45474">
        <w:t xml:space="preserve"> lawyer</w:t>
      </w:r>
      <w:r w:rsidR="005563BB">
        <w:t xml:space="preserve">. </w:t>
      </w:r>
      <w:r w:rsidR="003743BC">
        <w:t xml:space="preserve">For example, people on part pensions can apply for a loan through the </w:t>
      </w:r>
      <w:r w:rsidR="00870931">
        <w:t xml:space="preserve">Australian </w:t>
      </w:r>
      <w:r w:rsidR="003743BC">
        <w:t>Department of Human Services’ Pension Loans Scheme, which is secured against real estate and paid in fortnightly instalments.</w:t>
      </w:r>
      <w:r w:rsidR="003743BC">
        <w:rPr>
          <w:rStyle w:val="FootnoteReference"/>
        </w:rPr>
        <w:footnoteReference w:id="11"/>
      </w:r>
      <w:r w:rsidR="003743BC">
        <w:t xml:space="preserve"> </w:t>
      </w:r>
      <w:r w:rsidR="00CF7339">
        <w:t>VLA could consider whether the current home equity threshold</w:t>
      </w:r>
      <w:r w:rsidR="00700279">
        <w:t xml:space="preserve"> is set </w:t>
      </w:r>
      <w:r w:rsidR="00242406">
        <w:t xml:space="preserve">at </w:t>
      </w:r>
      <w:r w:rsidR="00700279">
        <w:t>an appropriate level, and whether a reduction in the equity threshold would allow VLA to better target legal services, including to non-homeowners.</w:t>
      </w:r>
    </w:p>
    <w:p w:rsidR="00B11794" w:rsidRDefault="00B11794" w:rsidP="0013085B">
      <w:r>
        <w:t xml:space="preserve">VCOSS supports separate asset allowances for homeowners and tenants, in order to protect money </w:t>
      </w:r>
      <w:r w:rsidR="00BD023B">
        <w:t>put</w:t>
      </w:r>
      <w:r>
        <w:t xml:space="preserve"> aside</w:t>
      </w:r>
      <w:r w:rsidR="00BD023B">
        <w:t xml:space="preserve"> by tenants</w:t>
      </w:r>
      <w:r w:rsidR="002B604A">
        <w:t xml:space="preserve"> for </w:t>
      </w:r>
      <w:r>
        <w:t>rent payments</w:t>
      </w:r>
      <w:r w:rsidR="00BD023B">
        <w:t xml:space="preserve">, </w:t>
      </w:r>
      <w:r>
        <w:t xml:space="preserve">and potential moving costs due to eviction, family violence or other circumstances. </w:t>
      </w:r>
      <w:r w:rsidR="00BD023B">
        <w:t xml:space="preserve">VLA suggests savings could be allowed to cover a month’s worth of rent plus a bond (in the event of a move). This amount is too low, making a person vulnerable to eviction and homelessness if they only have one month’s worth of rent available in the event of job loss, </w:t>
      </w:r>
      <w:r w:rsidR="00F5487E">
        <w:t xml:space="preserve">major </w:t>
      </w:r>
      <w:r w:rsidR="00BD023B">
        <w:t>illness or other income disruptions.</w:t>
      </w:r>
      <w:r w:rsidR="00F5487E">
        <w:t xml:space="preserve"> W</w:t>
      </w:r>
      <w:r w:rsidR="000229E0">
        <w:t xml:space="preserve">e note people who have </w:t>
      </w:r>
      <w:r w:rsidR="00F5487E">
        <w:t xml:space="preserve">less than one month’s </w:t>
      </w:r>
      <w:r w:rsidR="00F5487E" w:rsidRPr="00F5487E">
        <w:rPr>
          <w:i/>
        </w:rPr>
        <w:t>income</w:t>
      </w:r>
      <w:r w:rsidR="00F5487E">
        <w:t xml:space="preserve"> in savings (not only housing costs) are regarded as having very little savings and financially vulnerable.</w:t>
      </w:r>
      <w:r w:rsidR="00BD023B">
        <w:t xml:space="preserve"> </w:t>
      </w:r>
      <w:r w:rsidR="00700279">
        <w:t xml:space="preserve">Three </w:t>
      </w:r>
      <w:r w:rsidR="00486A00">
        <w:t>months’ worth</w:t>
      </w:r>
      <w:r w:rsidR="00700279">
        <w:t xml:space="preserve"> of income in savings is regarded as a ‘moderate’ level </w:t>
      </w:r>
      <w:r w:rsidR="00700279">
        <w:lastRenderedPageBreak/>
        <w:t>of savings.</w:t>
      </w:r>
      <w:r w:rsidR="00700279">
        <w:rPr>
          <w:rStyle w:val="FootnoteReference"/>
        </w:rPr>
        <w:footnoteReference w:id="12"/>
      </w:r>
      <w:r w:rsidR="00700279">
        <w:t xml:space="preserve"> </w:t>
      </w:r>
      <w:r w:rsidR="00BD023B">
        <w:t>We suggest three months’ worth of rent</w:t>
      </w:r>
      <w:r w:rsidR="00F5487E">
        <w:t xml:space="preserve"> and associated housing costs</w:t>
      </w:r>
      <w:r w:rsidR="00BD023B">
        <w:t xml:space="preserve"> be allowed, </w:t>
      </w:r>
      <w:r w:rsidR="00F5487E">
        <w:t>which would promote security of tenure and</w:t>
      </w:r>
      <w:r w:rsidR="00D45474">
        <w:t xml:space="preserve"> </w:t>
      </w:r>
      <w:r w:rsidR="00F5487E">
        <w:t>buffers against financial crisis.</w:t>
      </w:r>
      <w:r w:rsidR="00BD023B">
        <w:t xml:space="preserve"> </w:t>
      </w:r>
    </w:p>
    <w:p w:rsidR="00B742AD" w:rsidRDefault="00F5487E" w:rsidP="0013085B">
      <w:r>
        <w:t xml:space="preserve">VCOSS also supports </w:t>
      </w:r>
      <w:r w:rsidR="00D401FF">
        <w:t xml:space="preserve">a more general </w:t>
      </w:r>
      <w:r>
        <w:t>increase in the allowable assets threshold for non-property assets, in order to accommodate the complexity of people’s lives and particular vulnerabilities.</w:t>
      </w:r>
      <w:r w:rsidR="00D401FF">
        <w:t xml:space="preserve"> The current threshold of $1</w:t>
      </w:r>
      <w:r w:rsidR="00DC10CC">
        <w:t>,</w:t>
      </w:r>
      <w:r w:rsidR="00D401FF">
        <w:t>095 is too low.</w:t>
      </w:r>
      <w:r>
        <w:t xml:space="preserve"> Some people have to rely on savings for significant periods</w:t>
      </w:r>
      <w:r w:rsidR="007859E9">
        <w:t xml:space="preserve"> of time because they have limited capacity to work or employment opportunities, including due to disability or reliance on seasonal work in regional areas. Women facing family violence (whether they are homeowners or tenants) may have put savings aside in order to move from </w:t>
      </w:r>
      <w:r w:rsidR="00F8513E">
        <w:t>the family home or to another area.</w:t>
      </w:r>
      <w:r w:rsidR="007859E9">
        <w:t xml:space="preserve"> </w:t>
      </w:r>
      <w:r w:rsidR="00B742AD">
        <w:t>The allowable assets threshold should accommodate such</w:t>
      </w:r>
      <w:r w:rsidR="007859E9">
        <w:t xml:space="preserve"> circumstances</w:t>
      </w:r>
      <w:r w:rsidR="00700279">
        <w:t>.</w:t>
      </w:r>
    </w:p>
    <w:p w:rsidR="00407DC8" w:rsidRPr="0013085B" w:rsidRDefault="00F8513E" w:rsidP="0013085B">
      <w:r>
        <w:t xml:space="preserve">The assets test should also make allowances for assets that directly support a person’s health and wellbeing by enabling them to participate in work, education or community life. For example, </w:t>
      </w:r>
      <w:r w:rsidR="00B742AD">
        <w:t>mobility scooters and other disability equipment should be treated the same as motor vehicles under the assets test.</w:t>
      </w:r>
    </w:p>
    <w:p w:rsidR="00511DAC" w:rsidRDefault="00511DAC" w:rsidP="00511DAC">
      <w:pPr>
        <w:pStyle w:val="Heading2"/>
      </w:pPr>
      <w:bookmarkStart w:id="10" w:name="_Toc486257353"/>
      <w:r>
        <w:t>Treatment of superannuation</w:t>
      </w:r>
      <w:bookmarkEnd w:id="10"/>
    </w:p>
    <w:p w:rsidR="008D3C36" w:rsidRDefault="00511DAC" w:rsidP="009E7A43">
      <w:r>
        <w:t xml:space="preserve">VCOSS supports clarification of how superannuation assets are treated under the means test, which would make clear that VLA only takes into account superannuation the applicant has already accessed (i.e. ‘unpreserved’ superannuation) and is not subject to any taxation. </w:t>
      </w:r>
    </w:p>
    <w:p w:rsidR="00511DAC" w:rsidRDefault="00055CB8" w:rsidP="009E7A43">
      <w:r>
        <w:t xml:space="preserve">Applicants on low incomes </w:t>
      </w:r>
      <w:r w:rsidR="00511DAC">
        <w:t xml:space="preserve">may have accessed superannuation before retiring, due to </w:t>
      </w:r>
      <w:r>
        <w:t xml:space="preserve">severe </w:t>
      </w:r>
      <w:r w:rsidR="00511DAC">
        <w:t>financial hardship, terminal illness</w:t>
      </w:r>
      <w:r>
        <w:t>, on compassionate grounds, or because the super balance is very low.</w:t>
      </w:r>
      <w:r>
        <w:rPr>
          <w:rStyle w:val="FootnoteReference"/>
        </w:rPr>
        <w:footnoteReference w:id="13"/>
      </w:r>
      <w:r>
        <w:t xml:space="preserve"> </w:t>
      </w:r>
      <w:r w:rsidR="00511DAC">
        <w:t xml:space="preserve">The guideline needs to clarify </w:t>
      </w:r>
      <w:r>
        <w:t xml:space="preserve">whether early release of superannuation on these grounds is taken into account under the means test; we suggest superannuation assets should be excluded from the means test assessment in these circumstances. </w:t>
      </w:r>
    </w:p>
    <w:p w:rsidR="009E7A43" w:rsidRDefault="009E7A43" w:rsidP="009E7A43"/>
    <w:p w:rsidR="00A42CB9" w:rsidRDefault="00A42CB9">
      <w:pPr>
        <w:spacing w:before="200"/>
      </w:pPr>
      <w:r>
        <w:br w:type="page"/>
      </w:r>
    </w:p>
    <w:p w:rsidR="009E7A43" w:rsidRPr="00133AE2" w:rsidRDefault="00255416" w:rsidP="00A42CB9">
      <w:pPr>
        <w:pStyle w:val="Heading1"/>
      </w:pPr>
      <w:bookmarkStart w:id="11" w:name="_Toc486257354"/>
      <w:r>
        <w:lastRenderedPageBreak/>
        <w:t>Narrow</w:t>
      </w:r>
      <w:r w:rsidR="00A42CB9">
        <w:t xml:space="preserve"> the definition of ‘financially associated persons’</w:t>
      </w:r>
      <w:bookmarkEnd w:id="11"/>
    </w:p>
    <w:p w:rsidR="000F2B2E" w:rsidRDefault="000F2B2E" w:rsidP="000F2B2E">
      <w:r>
        <w:t>When deciding whether to grant legal aid, VLA looks at the income and assets of ‘financially associated persons’, who are people who provide, or could reasonably be expected to provide, assistance to applicant. This can include parents, partners, children or siblings. For example, if a parent provides</w:t>
      </w:r>
      <w:r w:rsidR="00D401FF">
        <w:t xml:space="preserve"> financial assistance to an</w:t>
      </w:r>
      <w:r>
        <w:t xml:space="preserve"> adult child, their child might be d</w:t>
      </w:r>
      <w:r w:rsidR="00D401FF">
        <w:t>enied legal aid, and the parent</w:t>
      </w:r>
      <w:r>
        <w:t xml:space="preserve"> forced to pay for private legal services.</w:t>
      </w:r>
      <w:r w:rsidR="00B96959">
        <w:t xml:space="preserve"> VLA states that:</w:t>
      </w:r>
    </w:p>
    <w:p w:rsidR="00B96959" w:rsidRDefault="00B96959" w:rsidP="00B96959">
      <w:pPr>
        <w:ind w:left="720" w:right="276"/>
      </w:pPr>
      <w:r w:rsidRPr="00D401FF">
        <w:rPr>
          <w:sz w:val="20"/>
        </w:rPr>
        <w:t>The Financially Associated Person definition is structured to ensure that the resources of a household or a relationship are considered as part of the assessment of whether a person can afford to pay for a private lawyer. This is underpinned by the assumption that certain people in a household or relationship have a moral obligation to support the applicant by contributing to their legal costs. It also supports the idea that publicly funded legal assistance is a safety net for people in need that should only be available where a person does not have access to other resources</w:t>
      </w:r>
      <w:r>
        <w:t>.</w:t>
      </w:r>
      <w:r>
        <w:rPr>
          <w:rStyle w:val="FootnoteReference"/>
        </w:rPr>
        <w:footnoteReference w:id="14"/>
      </w:r>
    </w:p>
    <w:p w:rsidR="008037BA" w:rsidRDefault="000F2B2E" w:rsidP="009E7A43">
      <w:r>
        <w:t>VCOSS members told us the definition of ‘financially associated persons’ is too wide. It can particularly disadvantage Aboriginal and Torres Strait Islander people</w:t>
      </w:r>
      <w:r w:rsidR="00870931">
        <w:t>s</w:t>
      </w:r>
      <w:r>
        <w:t>, and people from culturally and linguistically diverse background</w:t>
      </w:r>
      <w:r w:rsidR="008D3C36">
        <w:t>s</w:t>
      </w:r>
      <w:r>
        <w:t>, who support extended family member</w:t>
      </w:r>
      <w:r w:rsidR="00C53AD0">
        <w:t>s and</w:t>
      </w:r>
      <w:r w:rsidR="00D401FF">
        <w:t xml:space="preserve"> can</w:t>
      </w:r>
      <w:r w:rsidR="00C53AD0">
        <w:t xml:space="preserve"> be </w:t>
      </w:r>
      <w:r w:rsidR="003D379B">
        <w:t xml:space="preserve">left with the responsibility for </w:t>
      </w:r>
      <w:r>
        <w:t>fund</w:t>
      </w:r>
      <w:r w:rsidR="003D379B">
        <w:t>ing</w:t>
      </w:r>
      <w:r>
        <w:t xml:space="preserve"> legal services for them. </w:t>
      </w:r>
      <w:r w:rsidR="00C53AD0">
        <w:t xml:space="preserve">The mean’s test harshness can result in a person being impoverished by their relative’s legal problems. </w:t>
      </w:r>
    </w:p>
    <w:p w:rsidR="000F2B2E" w:rsidRDefault="008037BA" w:rsidP="009E7A43">
      <w:r>
        <w:t xml:space="preserve">VCOSS members </w:t>
      </w:r>
      <w:r w:rsidR="00AF537F">
        <w:t>warned against</w:t>
      </w:r>
      <w:r>
        <w:t xml:space="preserve"> situations where vulnerable people are having to approach family members for support where this coul</w:t>
      </w:r>
      <w:r w:rsidR="0059501A">
        <w:t>d disadvantage or endanger them,</w:t>
      </w:r>
      <w:r>
        <w:t xml:space="preserve"> such as where a </w:t>
      </w:r>
      <w:r w:rsidR="0033247F">
        <w:t>youn</w:t>
      </w:r>
      <w:r w:rsidR="008D3C36">
        <w:t xml:space="preserve">g adult with </w:t>
      </w:r>
      <w:r w:rsidR="0033247F">
        <w:t>significant</w:t>
      </w:r>
      <w:r>
        <w:t xml:space="preserve"> family </w:t>
      </w:r>
      <w:r w:rsidR="0033247F">
        <w:t xml:space="preserve">conflict has </w:t>
      </w:r>
      <w:r>
        <w:t>to approach pa</w:t>
      </w:r>
      <w:r w:rsidR="00110C9B">
        <w:t>ren</w:t>
      </w:r>
      <w:r w:rsidR="008D3C36">
        <w:t>ts for help with legal costs.</w:t>
      </w:r>
    </w:p>
    <w:p w:rsidR="00C53AD0" w:rsidRDefault="00C53AD0" w:rsidP="009E7A43">
      <w:r>
        <w:t>VCOSS supports narrowing the definition of ‘financially associated persons’ to the applicant’s spouse</w:t>
      </w:r>
      <w:r w:rsidR="00110C9B">
        <w:t xml:space="preserve"> or partner, c</w:t>
      </w:r>
      <w:r>
        <w:t>onsistent</w:t>
      </w:r>
      <w:r w:rsidR="00110C9B">
        <w:t xml:space="preserve"> with the Centrelink definition</w:t>
      </w:r>
      <w:r>
        <w:t xml:space="preserve">. The assessment could also consider the circumstances of other family members identified by the applicant as appropriate financial supporters. </w:t>
      </w:r>
    </w:p>
    <w:p w:rsidR="003D379B" w:rsidRDefault="003D379B" w:rsidP="009E7A43"/>
    <w:p w:rsidR="0033247F" w:rsidRDefault="0033247F" w:rsidP="009E7A43"/>
    <w:p w:rsidR="00AF537F" w:rsidRDefault="00AF537F" w:rsidP="009E7A43"/>
    <w:p w:rsidR="00C17145" w:rsidRDefault="00C17145" w:rsidP="009E7A43">
      <w:r>
        <w:t xml:space="preserve">If the definition </w:t>
      </w:r>
      <w:r w:rsidR="00A63743">
        <w:t>is narrowed in this way</w:t>
      </w:r>
      <w:r>
        <w:t xml:space="preserve"> it is important: </w:t>
      </w:r>
    </w:p>
    <w:p w:rsidR="00C17145" w:rsidRDefault="00C17145" w:rsidP="00C17145">
      <w:pPr>
        <w:pStyle w:val="ListParagraph"/>
        <w:numPr>
          <w:ilvl w:val="0"/>
          <w:numId w:val="19"/>
        </w:numPr>
      </w:pPr>
      <w:r>
        <w:t xml:space="preserve">applicants be able to </w:t>
      </w:r>
      <w:r w:rsidR="0033247F">
        <w:t xml:space="preserve">flag during the eligibility assessment </w:t>
      </w:r>
      <w:r>
        <w:t>that they cannot approach the</w:t>
      </w:r>
      <w:r w:rsidR="00A63743">
        <w:t>ir</w:t>
      </w:r>
      <w:r>
        <w:t xml:space="preserve"> par</w:t>
      </w:r>
      <w:r w:rsidR="00A63743">
        <w:t xml:space="preserve">tner/spouse for </w:t>
      </w:r>
      <w:r>
        <w:t>legal costs</w:t>
      </w:r>
      <w:r w:rsidR="00A63743">
        <w:t xml:space="preserve"> assistance</w:t>
      </w:r>
      <w:r>
        <w:t xml:space="preserve"> (such as where the applicant is a </w:t>
      </w:r>
      <w:r w:rsidRPr="00C17145">
        <w:rPr>
          <w:i/>
        </w:rPr>
        <w:t>victim</w:t>
      </w:r>
      <w:r>
        <w:t xml:space="preserve"> of family violence), and</w:t>
      </w:r>
    </w:p>
    <w:p w:rsidR="000F2B2E" w:rsidRDefault="00C17145" w:rsidP="00C17145">
      <w:pPr>
        <w:pStyle w:val="ListParagraph"/>
        <w:numPr>
          <w:ilvl w:val="0"/>
          <w:numId w:val="19"/>
        </w:numPr>
      </w:pPr>
      <w:proofErr w:type="gramStart"/>
      <w:r>
        <w:t>partners/spouses</w:t>
      </w:r>
      <w:proofErr w:type="gramEnd"/>
      <w:r>
        <w:t xml:space="preserve"> be able to alert VLA that the applicant is placing undue pressure on them to pay for legal services, and/or it constitutes economic abuse (such as where the applicant is a </w:t>
      </w:r>
      <w:r w:rsidRPr="00C17145">
        <w:rPr>
          <w:i/>
        </w:rPr>
        <w:t>perpetrator</w:t>
      </w:r>
      <w:r>
        <w:t xml:space="preserve"> of family violence</w:t>
      </w:r>
      <w:r w:rsidR="00B67C0B">
        <w:t xml:space="preserve"> or elder abuse</w:t>
      </w:r>
      <w:r w:rsidR="00D51886">
        <w:t>).</w:t>
      </w:r>
    </w:p>
    <w:p w:rsidR="005F1F6A" w:rsidRDefault="005F1F6A" w:rsidP="005F1F6A">
      <w:r>
        <w:t>When assessing who is a financially associ</w:t>
      </w:r>
      <w:r w:rsidR="00C006E6">
        <w:t>ated person, VLA</w:t>
      </w:r>
      <w:r>
        <w:t xml:space="preserve"> must proactively, but saf</w:t>
      </w:r>
      <w:r w:rsidR="00C006E6">
        <w:t>ely, ask about family violence.</w:t>
      </w:r>
    </w:p>
    <w:p w:rsidR="005F1F6A" w:rsidRDefault="002F0BDF" w:rsidP="002F0BDF">
      <w:pPr>
        <w:pStyle w:val="Heading2"/>
      </w:pPr>
      <w:bookmarkStart w:id="12" w:name="_Toc486257355"/>
      <w:r>
        <w:t>Other reforms</w:t>
      </w:r>
      <w:r w:rsidR="00A63743">
        <w:t xml:space="preserve"> to improve fairness</w:t>
      </w:r>
      <w:bookmarkEnd w:id="12"/>
    </w:p>
    <w:p w:rsidR="00D85605" w:rsidRDefault="00A63743" w:rsidP="009E7A43">
      <w:r>
        <w:t>VCOSS supports other proposed measures that will help make th</w:t>
      </w:r>
      <w:r w:rsidR="00D85605">
        <w:t>e application process easier, and protec</w:t>
      </w:r>
      <w:r w:rsidR="003616A2">
        <w:t xml:space="preserve">t family members </w:t>
      </w:r>
      <w:r w:rsidR="00D85605">
        <w:t>from harm.</w:t>
      </w:r>
    </w:p>
    <w:p w:rsidR="002F0BDF" w:rsidRDefault="00D85605" w:rsidP="009E7A43">
      <w:r>
        <w:t>VCOSS welcomes the proposal to reduce the documentary proof required from financially associated persons</w:t>
      </w:r>
      <w:r w:rsidR="00FB32FF">
        <w:t xml:space="preserve">, which can prevent timely access to legal assistance where there are delays gathering proof, or the applicant is not </w:t>
      </w:r>
      <w:r w:rsidR="003616A2">
        <w:t>able</w:t>
      </w:r>
      <w:r w:rsidR="00FB32FF">
        <w:t xml:space="preserve"> to gat</w:t>
      </w:r>
      <w:r w:rsidR="00C006E6">
        <w:t>her this proof</w:t>
      </w:r>
      <w:r w:rsidR="00FB32FF">
        <w:t>.</w:t>
      </w:r>
      <w:r w:rsidR="00A63743">
        <w:t xml:space="preserve"> </w:t>
      </w:r>
      <w:r w:rsidR="00FB32FF">
        <w:t>We agree statutory declarations could be accepted where it is difficult to obtain documentary proof.</w:t>
      </w:r>
    </w:p>
    <w:p w:rsidR="00FB32FF" w:rsidRDefault="00FB32FF" w:rsidP="009E7A43">
      <w:r>
        <w:t xml:space="preserve">We also support </w:t>
      </w:r>
      <w:r w:rsidR="00FC029A">
        <w:t>including dependants of financially associated persons in the means test. We agree this would allow a more accurate assessment of whether they are able to contribute to the applicant’s legal costs. It wou</w:t>
      </w:r>
      <w:r w:rsidR="00030147">
        <w:t xml:space="preserve">ld also help to avoid </w:t>
      </w:r>
      <w:r w:rsidR="00FC029A">
        <w:t>harm to dependants</w:t>
      </w:r>
      <w:r w:rsidR="007821FD">
        <w:t>, such as children, where</w:t>
      </w:r>
      <w:r w:rsidR="00FC029A">
        <w:t xml:space="preserve"> a financially associated person is requir</w:t>
      </w:r>
      <w:r w:rsidR="007821FD">
        <w:t>ed to contribute to legal costs and has to sacrifice spending on dependants.</w:t>
      </w:r>
      <w:r w:rsidR="00FC029A">
        <w:t xml:space="preserve"> </w:t>
      </w:r>
    </w:p>
    <w:p w:rsidR="00765957" w:rsidRDefault="00765957" w:rsidP="0068027C">
      <w:pPr>
        <w:spacing w:before="200"/>
      </w:pPr>
      <w:r>
        <w:br w:type="page"/>
      </w:r>
    </w:p>
    <w:p w:rsidR="00CB639E" w:rsidRPr="00133AE2" w:rsidRDefault="00CB639E" w:rsidP="00CB639E">
      <w:pPr>
        <w:pStyle w:val="Heading1"/>
      </w:pPr>
      <w:bookmarkStart w:id="13" w:name="_Toc485713965"/>
      <w:bookmarkStart w:id="14" w:name="_Toc486257356"/>
      <w:r>
        <w:lastRenderedPageBreak/>
        <w:t xml:space="preserve">Make the </w:t>
      </w:r>
      <w:r w:rsidR="00355ADA">
        <w:t>c</w:t>
      </w:r>
      <w:r w:rsidRPr="00133AE2">
        <w:t>ontribution</w:t>
      </w:r>
      <w:r w:rsidR="00355ADA">
        <w:t>s p</w:t>
      </w:r>
      <w:r w:rsidRPr="00133AE2">
        <w:t>olicy</w:t>
      </w:r>
      <w:r>
        <w:t xml:space="preserve"> fairer</w:t>
      </w:r>
      <w:bookmarkEnd w:id="13"/>
      <w:bookmarkEnd w:id="14"/>
    </w:p>
    <w:p w:rsidR="00CB639E" w:rsidRDefault="00CB639E" w:rsidP="00CB639E">
      <w:r>
        <w:t>A contribution is an amount of money that a person who has been granted legal aid must pay towards the cost of legal assistance. It is based on the estimated cost of the matter and weekly income. The first installment on a contribution is usually paid as a lump sum, unless the person can show that would cause undue hardship.</w:t>
      </w:r>
    </w:p>
    <w:p w:rsidR="00CB639E" w:rsidRDefault="00CB639E" w:rsidP="00CB639E">
      <w:r w:rsidRPr="00FE2F5D">
        <w:t xml:space="preserve">The </w:t>
      </w:r>
      <w:r>
        <w:t xml:space="preserve">intention of the </w:t>
      </w:r>
      <w:r w:rsidRPr="00FE2F5D">
        <w:t>contributions policy</w:t>
      </w:r>
      <w:r>
        <w:t xml:space="preserve"> is to allow a greater number of people on low or fixed incomes and/or with minor assets to access legal assistance, on the basis that they are able to make some contribution to their legal costs. It helps ensure access to legal assistance is available to those who need it, not based on a strict monetary cut-off.</w:t>
      </w:r>
    </w:p>
    <w:p w:rsidR="00CB639E" w:rsidRDefault="00CB639E" w:rsidP="00CB639E">
      <w:r>
        <w:t>There are a number of options that can make the contributions policy fairer for people who need legal assistance but have limited capacity to make a contribution to those costs.</w:t>
      </w:r>
    </w:p>
    <w:p w:rsidR="00CB639E" w:rsidRDefault="00355ADA" w:rsidP="00CB639E">
      <w:pPr>
        <w:pStyle w:val="Heading2"/>
      </w:pPr>
      <w:bookmarkStart w:id="15" w:name="_Toc485713970"/>
      <w:bookmarkStart w:id="16" w:name="_Toc486257357"/>
      <w:r>
        <w:t>Widen the c</w:t>
      </w:r>
      <w:r w:rsidR="00CB639E">
        <w:t>ontributions policy</w:t>
      </w:r>
      <w:bookmarkEnd w:id="15"/>
      <w:bookmarkEnd w:id="16"/>
    </w:p>
    <w:p w:rsidR="00CB639E" w:rsidRDefault="00CB639E" w:rsidP="00CB639E">
      <w:r>
        <w:t>Members told us that people who are on low incomes would rather make an agreement to contribute to legal expenses rather than miss out on legal assistance altogether.</w:t>
      </w:r>
      <w:r w:rsidRPr="004947F4">
        <w:t xml:space="preserve"> </w:t>
      </w:r>
      <w:r>
        <w:t>This would include low wage workers. VCOSS recommends ensuring that people have a thorough understanding of the quantum of their contribution, and how it will be collected. Clear information, provided as early as possible in the process, may help to ensure people understand their obligations, and make it more likely that they will make repayments.</w:t>
      </w:r>
    </w:p>
    <w:p w:rsidR="00CB639E" w:rsidRPr="00EF10F4" w:rsidRDefault="00CB639E" w:rsidP="00CB639E">
      <w:r>
        <w:t>As noted in the Access to Justice Review, other parts of the justice system are negatively impacted by low levels of legal assistance. For example, an increase in self-represented litigants has a direct impact on court workload.</w:t>
      </w:r>
      <w:r>
        <w:rPr>
          <w:rStyle w:val="FootnoteReference"/>
        </w:rPr>
        <w:footnoteReference w:id="15"/>
      </w:r>
      <w:r>
        <w:t xml:space="preserve"> Part A of the Options Paper supports the view that the costs of providing more people with legal assistance may be outweighed by the broader benefits to the community of providing early support for legal problems.</w:t>
      </w:r>
      <w:r>
        <w:rPr>
          <w:rStyle w:val="FootnoteReference"/>
        </w:rPr>
        <w:footnoteReference w:id="16"/>
      </w:r>
      <w:r>
        <w:t xml:space="preserve"> Widening the contributions policy, to allow more people access to legal assistance, with a contribution, may prevent some of these costs to the community. </w:t>
      </w:r>
    </w:p>
    <w:p w:rsidR="00CB639E" w:rsidRDefault="00CB639E" w:rsidP="00CB639E">
      <w:pPr>
        <w:pStyle w:val="Heading2"/>
      </w:pPr>
      <w:bookmarkStart w:id="17" w:name="_Toc485713967"/>
      <w:bookmarkStart w:id="18" w:name="_Toc486257358"/>
      <w:r>
        <w:t xml:space="preserve">Raise </w:t>
      </w:r>
      <w:r w:rsidRPr="007001F3">
        <w:t>the income and asset threshold</w:t>
      </w:r>
      <w:bookmarkEnd w:id="17"/>
      <w:bookmarkEnd w:id="18"/>
    </w:p>
    <w:p w:rsidR="00CB639E" w:rsidRPr="00876E11" w:rsidRDefault="00CB639E" w:rsidP="00CB639E">
      <w:r>
        <w:t xml:space="preserve">VLA’s income and assets thresholds are low, and have the potential to exclude people from assistance who are vulnerable or disadvantaged and need access to legal aid. Raising the income and asset thresholds that trigger the point that VLA requires a contribution would ensure a greater </w:t>
      </w:r>
      <w:r>
        <w:lastRenderedPageBreak/>
        <w:t xml:space="preserve">number of people in need are able to access assistance. VCOSS members advocated for opening up contributions to a wider group of low wage workers. </w:t>
      </w:r>
      <w:r w:rsidR="00814B0B">
        <w:t>M</w:t>
      </w:r>
      <w:r>
        <w:t xml:space="preserve">embers also </w:t>
      </w:r>
      <w:r w:rsidR="008A77BA">
        <w:t xml:space="preserve">said </w:t>
      </w:r>
      <w:r>
        <w:t xml:space="preserve">that there are some people on a fixed or low income, for whom the need to make a contribution will act as a disincentive to seeking legal assistance. </w:t>
      </w:r>
      <w:r w:rsidR="00D51886">
        <w:t>This should be avoided.</w:t>
      </w:r>
    </w:p>
    <w:p w:rsidR="00CB639E" w:rsidRPr="00742798" w:rsidRDefault="000450E8" w:rsidP="00CB639E">
      <w:pPr>
        <w:pStyle w:val="Heading2"/>
      </w:pPr>
      <w:bookmarkStart w:id="19" w:name="_Toc485713966"/>
      <w:bookmarkStart w:id="20" w:name="_Toc486257359"/>
      <w:r>
        <w:t>Make the r</w:t>
      </w:r>
      <w:r w:rsidR="00CB639E">
        <w:t xml:space="preserve">epayments </w:t>
      </w:r>
      <w:r>
        <w:t xml:space="preserve">scheme </w:t>
      </w:r>
      <w:r w:rsidR="00CB639E">
        <w:t>for asset contributions</w:t>
      </w:r>
      <w:bookmarkEnd w:id="19"/>
      <w:r>
        <w:t xml:space="preserve"> fairer</w:t>
      </w:r>
      <w:bookmarkEnd w:id="20"/>
    </w:p>
    <w:p w:rsidR="00CB639E" w:rsidRDefault="00CB639E" w:rsidP="00CB639E">
      <w:r>
        <w:t>VCOSS recommends allowing repayments for asset contributions to be made over a period of time, like income</w:t>
      </w:r>
      <w:r w:rsidR="00814B0B">
        <w:t>-</w:t>
      </w:r>
      <w:r>
        <w:t>based contributions. People seeking legal assistance are unlikely to have significant assets. Spreading an asset-based contribution over a period of time would be fairer than requiring a lump sum or higher repayments based solely on the value of an asset.</w:t>
      </w:r>
    </w:p>
    <w:p w:rsidR="00CB639E" w:rsidRDefault="00CB639E" w:rsidP="00CB639E">
      <w:r>
        <w:t xml:space="preserve">As previously observed in the comments to the 2016 </w:t>
      </w:r>
      <w:r w:rsidR="00D51886">
        <w:t>Discussion Paper</w:t>
      </w:r>
      <w:r>
        <w:t xml:space="preserve">, </w:t>
      </w:r>
      <w:r w:rsidRPr="00536DFC">
        <w:t>VCOSS</w:t>
      </w:r>
      <w:r>
        <w:t xml:space="preserve"> suggested mobility aids and disability equipment should be considered allowable assets. Mobility aids and disability equipment are essential tools to support health and wellbeing</w:t>
      </w:r>
      <w:r w:rsidRPr="00380152">
        <w:t xml:space="preserve"> </w:t>
      </w:r>
      <w:r>
        <w:t>and should not be considered assets that can be disposed of to pay a debt.</w:t>
      </w:r>
    </w:p>
    <w:p w:rsidR="00CB639E" w:rsidRPr="00995E31" w:rsidRDefault="00CB639E" w:rsidP="00CB639E">
      <w:pPr>
        <w:pStyle w:val="Heading2"/>
      </w:pPr>
      <w:bookmarkStart w:id="21" w:name="_Toc485713968"/>
      <w:bookmarkStart w:id="22" w:name="_Toc486257360"/>
      <w:r>
        <w:t>Fix the rate of contribution repayments</w:t>
      </w:r>
      <w:bookmarkEnd w:id="21"/>
      <w:bookmarkEnd w:id="22"/>
    </w:p>
    <w:p w:rsidR="00CB639E" w:rsidRDefault="00CB639E" w:rsidP="00CB639E">
      <w:r>
        <w:t>VCOSS is of the view that repayment amounts should be based on income (capacity to pay) rather than contribution amount (total owed). Fixing the level of repayment for contributions based on the amount owing creates inequity. Although this may result in some people taking longer to repay a contribution, it would ensure they are not burdened by repayments that they can’t afford.</w:t>
      </w:r>
    </w:p>
    <w:p w:rsidR="00355ADA" w:rsidRDefault="00355ADA">
      <w:pPr>
        <w:spacing w:before="200"/>
      </w:pPr>
      <w:r>
        <w:br w:type="page"/>
      </w:r>
    </w:p>
    <w:p w:rsidR="00CB639E" w:rsidRDefault="00355ADA" w:rsidP="00CB639E">
      <w:pPr>
        <w:pStyle w:val="Heading1"/>
        <w:rPr>
          <w:u w:val="single"/>
        </w:rPr>
      </w:pPr>
      <w:bookmarkStart w:id="23" w:name="_Toc486257361"/>
      <w:r>
        <w:lastRenderedPageBreak/>
        <w:t>Establish clear e</w:t>
      </w:r>
      <w:r w:rsidR="00CB639E" w:rsidRPr="00133AE2">
        <w:t>xemptions</w:t>
      </w:r>
      <w:bookmarkEnd w:id="23"/>
    </w:p>
    <w:p w:rsidR="00CB639E" w:rsidRDefault="00814B0B" w:rsidP="00CB639E">
      <w:bookmarkStart w:id="24" w:name="_Toc485713971"/>
      <w:r>
        <w:t>T</w:t>
      </w:r>
      <w:r w:rsidR="00CB639E">
        <w:t>here are a number of ways exemptions can be used to streamline decision making and make the tests for obtaining legal assistance clearer. Exemptions fall into two categories:</w:t>
      </w:r>
    </w:p>
    <w:p w:rsidR="00CB639E" w:rsidRDefault="00355ADA" w:rsidP="00CB639E">
      <w:pPr>
        <w:pStyle w:val="ListParagraph"/>
        <w:numPr>
          <w:ilvl w:val="0"/>
          <w:numId w:val="21"/>
        </w:numPr>
      </w:pPr>
      <w:r>
        <w:t>exemptions for groups of people,</w:t>
      </w:r>
      <w:r w:rsidR="00CB639E">
        <w:t xml:space="preserve"> and</w:t>
      </w:r>
    </w:p>
    <w:p w:rsidR="00CB639E" w:rsidRDefault="00CB639E" w:rsidP="00CB639E">
      <w:pPr>
        <w:pStyle w:val="ListParagraph"/>
        <w:numPr>
          <w:ilvl w:val="0"/>
          <w:numId w:val="21"/>
        </w:numPr>
      </w:pPr>
      <w:proofErr w:type="gramStart"/>
      <w:r>
        <w:t>exemptions</w:t>
      </w:r>
      <w:proofErr w:type="gramEnd"/>
      <w:r>
        <w:t xml:space="preserve"> in relation to certain legal matters.</w:t>
      </w:r>
    </w:p>
    <w:p w:rsidR="00CB639E" w:rsidRDefault="00CB639E" w:rsidP="00CB639E">
      <w:r>
        <w:t xml:space="preserve">Exemptions that have been proposed in the Options Paper </w:t>
      </w:r>
      <w:r w:rsidR="00AF537F">
        <w:t>relate to both</w:t>
      </w:r>
      <w:r>
        <w:t xml:space="preserve"> the means test as a whole or the contributions policy</w:t>
      </w:r>
      <w:r w:rsidR="00814B0B">
        <w:t>.</w:t>
      </w:r>
      <w:r w:rsidR="00AF537F">
        <w:t xml:space="preserve"> A clear exemptions policy should be written to cover both aspects.</w:t>
      </w:r>
    </w:p>
    <w:p w:rsidR="00CB639E" w:rsidRDefault="00CB639E" w:rsidP="00CB639E">
      <w:pPr>
        <w:pStyle w:val="Heading2"/>
      </w:pPr>
      <w:bookmarkStart w:id="25" w:name="_Toc485713974"/>
      <w:bookmarkStart w:id="26" w:name="_Toc486257362"/>
      <w:r>
        <w:t>Exempt certain groups of people</w:t>
      </w:r>
      <w:bookmarkEnd w:id="25"/>
      <w:bookmarkEnd w:id="26"/>
    </w:p>
    <w:p w:rsidR="00CB639E" w:rsidRDefault="00CB639E" w:rsidP="00CB639E">
      <w:r>
        <w:t>VCOSS supports a more inclusive approach to granting legal assistance based on disadvantage. This can be through exempting some groups from the means test as a whole, or making specific exceptions in relation to contributions. Research released in 2015 by Catholic Social Services Australia and Jesuit Social Services noted the strong correlation between certain indicators of disadvantage. In the most disadvantaged regions in Australia, there were strong correlations between short and long term unemployment, disability support, child maltreatment indicators and prison admissions. The most disadvantaged regions in Australia experience interconnected vulnerabilities.</w:t>
      </w:r>
      <w:r>
        <w:rPr>
          <w:rStyle w:val="FootnoteReference"/>
        </w:rPr>
        <w:footnoteReference w:id="17"/>
      </w:r>
      <w:r>
        <w:t xml:space="preserve"> An assessment based on income and assets alone is unlikely to reveal a complete picture of disadvantage.</w:t>
      </w:r>
      <w:r>
        <w:rPr>
          <w:rStyle w:val="FootnoteReference"/>
        </w:rPr>
        <w:footnoteReference w:id="18"/>
      </w:r>
    </w:p>
    <w:p w:rsidR="00CB639E" w:rsidRDefault="00CB639E" w:rsidP="00CB639E">
      <w:r>
        <w:t xml:space="preserve">VCOSS members agreed that legal assistance should be available to some people regardless of means. </w:t>
      </w:r>
    </w:p>
    <w:p w:rsidR="00CB639E" w:rsidRPr="00563216" w:rsidRDefault="00CB639E" w:rsidP="00CB639E">
      <w:pPr>
        <w:pStyle w:val="Heading2"/>
      </w:pPr>
      <w:bookmarkStart w:id="27" w:name="_Toc486257363"/>
      <w:r>
        <w:t>Exempt (or cap contributions on) certain legal matters</w:t>
      </w:r>
      <w:bookmarkEnd w:id="24"/>
      <w:bookmarkEnd w:id="27"/>
    </w:p>
    <w:p w:rsidR="00CB639E" w:rsidRDefault="00CB639E" w:rsidP="00CB639E">
      <w:r>
        <w:t xml:space="preserve">VCOSS members </w:t>
      </w:r>
      <w:r w:rsidR="00AF537F">
        <w:t xml:space="preserve">note </w:t>
      </w:r>
      <w:r>
        <w:t>that certain matters should be exempt from the operation of the means test and/or contributions in relation to those matters capped.</w:t>
      </w:r>
    </w:p>
    <w:p w:rsidR="00CB639E" w:rsidRDefault="00CB639E" w:rsidP="00CB639E">
      <w:r>
        <w:t>The Royal Commission into Family Violence noted the important role of legal assistance in family violence matters.</w:t>
      </w:r>
      <w:r>
        <w:rPr>
          <w:rStyle w:val="FootnoteReference"/>
        </w:rPr>
        <w:footnoteReference w:id="19"/>
      </w:r>
      <w:r>
        <w:t xml:space="preserve"> VCOSS members </w:t>
      </w:r>
      <w:r w:rsidR="00814B0B">
        <w:t>said</w:t>
      </w:r>
      <w:r>
        <w:t xml:space="preserve"> responsive and supportive legal assistance in family violence and child protection cases </w:t>
      </w:r>
      <w:r w:rsidR="00814B0B">
        <w:t xml:space="preserve">can </w:t>
      </w:r>
      <w:proofErr w:type="gramStart"/>
      <w:r>
        <w:t>promot</w:t>
      </w:r>
      <w:r w:rsidR="00814B0B">
        <w:t xml:space="preserve">e </w:t>
      </w:r>
      <w:r>
        <w:t xml:space="preserve"> the</w:t>
      </w:r>
      <w:proofErr w:type="gramEnd"/>
      <w:r>
        <w:t xml:space="preserve"> safety of women and children who have experienced family violence. </w:t>
      </w:r>
    </w:p>
    <w:p w:rsidR="00814B0B" w:rsidRDefault="00814B0B" w:rsidP="00CB639E">
      <w:r>
        <w:lastRenderedPageBreak/>
        <w:t>VLA could consider blanket exemptions from the means test or capped contributions in the following matters:</w:t>
      </w:r>
    </w:p>
    <w:p w:rsidR="00814B0B" w:rsidRDefault="00814B0B" w:rsidP="00AF537F">
      <w:pPr>
        <w:pStyle w:val="ListParagraph"/>
        <w:numPr>
          <w:ilvl w:val="0"/>
          <w:numId w:val="25"/>
        </w:numPr>
      </w:pPr>
      <w:r>
        <w:t>Equal opportunity and discrimination matters where the contributions might diminish or outweigh the compensation awarded,</w:t>
      </w:r>
    </w:p>
    <w:p w:rsidR="00814B0B" w:rsidRDefault="00814B0B" w:rsidP="00AF537F">
      <w:pPr>
        <w:pStyle w:val="ListParagraph"/>
        <w:numPr>
          <w:ilvl w:val="0"/>
          <w:numId w:val="25"/>
        </w:numPr>
      </w:pPr>
      <w:r>
        <w:t>Common legal issue</w:t>
      </w:r>
      <w:r w:rsidR="008A77BA">
        <w:t>s</w:t>
      </w:r>
      <w:r>
        <w:t xml:space="preserve"> experienced by many vulnerable or disadvantaged people, for example debts and fines, tenancy issues and Centrelink matters,</w:t>
      </w:r>
      <w:r>
        <w:rPr>
          <w:rStyle w:val="FootnoteReference"/>
        </w:rPr>
        <w:footnoteReference w:id="20"/>
      </w:r>
      <w:r>
        <w:t xml:space="preserve"> and</w:t>
      </w:r>
    </w:p>
    <w:p w:rsidR="00814B0B" w:rsidRDefault="00814B0B" w:rsidP="00AF537F">
      <w:pPr>
        <w:pStyle w:val="ListParagraph"/>
        <w:numPr>
          <w:ilvl w:val="0"/>
          <w:numId w:val="25"/>
        </w:numPr>
      </w:pPr>
      <w:r>
        <w:t>Public interest cases, in which the outcome is of societal benefit and therefore the funding burden should not fall on the applicant.</w:t>
      </w:r>
    </w:p>
    <w:p w:rsidR="00CB639E" w:rsidRDefault="00CB639E" w:rsidP="00CB639E"/>
    <w:p w:rsidR="00CB639E" w:rsidRDefault="00CB639E" w:rsidP="00CB639E"/>
    <w:p w:rsidR="00355ADA" w:rsidRDefault="00355ADA">
      <w:pPr>
        <w:spacing w:before="200"/>
        <w:rPr>
          <w:b/>
          <w:color w:val="D84920"/>
          <w:sz w:val="50"/>
          <w:szCs w:val="50"/>
        </w:rPr>
      </w:pPr>
      <w:bookmarkStart w:id="28" w:name="_Toc485713978"/>
      <w:r>
        <w:br w:type="page"/>
      </w:r>
    </w:p>
    <w:p w:rsidR="00CB639E" w:rsidRPr="00133AE2" w:rsidRDefault="00CB639E" w:rsidP="00CB639E">
      <w:pPr>
        <w:pStyle w:val="Heading1"/>
      </w:pPr>
      <w:bookmarkStart w:id="29" w:name="_Toc486257364"/>
      <w:r>
        <w:lastRenderedPageBreak/>
        <w:t>Improve access to information</w:t>
      </w:r>
      <w:bookmarkEnd w:id="28"/>
      <w:bookmarkEnd w:id="29"/>
    </w:p>
    <w:p w:rsidR="00CB639E" w:rsidRDefault="00CB639E" w:rsidP="00CB639E">
      <w:r w:rsidRPr="003757D2">
        <w:t xml:space="preserve">VCOSS members reported </w:t>
      </w:r>
      <w:r>
        <w:t>that it is hard to find information about eligibility for legal assistance. Community sector workers report that the VL</w:t>
      </w:r>
      <w:r w:rsidRPr="003757D2">
        <w:t xml:space="preserve">A website </w:t>
      </w:r>
      <w:r>
        <w:t xml:space="preserve">is hard to navigate and </w:t>
      </w:r>
      <w:r w:rsidRPr="003757D2">
        <w:t>information about eligibility</w:t>
      </w:r>
      <w:r>
        <w:t xml:space="preserve"> for legal assistance</w:t>
      </w:r>
      <w:r w:rsidR="00D51886">
        <w:t xml:space="preserve"> is difficult to understand</w:t>
      </w:r>
      <w:r>
        <w:t>.</w:t>
      </w:r>
    </w:p>
    <w:p w:rsidR="00CB639E" w:rsidRDefault="00CB639E" w:rsidP="00CB639E">
      <w:r>
        <w:t>A more streamlined approach to communications wou</w:t>
      </w:r>
      <w:r w:rsidR="00D51886">
        <w:t xml:space="preserve">ld be appropriate. VCOSS suggests an approach </w:t>
      </w:r>
      <w:r>
        <w:t xml:space="preserve">that takes </w:t>
      </w:r>
      <w:r w:rsidRPr="003757D2">
        <w:t xml:space="preserve">into account the needs of the people seeking information (for example, potential legal aid clients, community support workers who are not lawyers, people from non-English speaking </w:t>
      </w:r>
      <w:r>
        <w:t xml:space="preserve">backgrounds and </w:t>
      </w:r>
      <w:r w:rsidRPr="003757D2">
        <w:t xml:space="preserve">young people) and the type of information they are looking for (for example, eligibility policies, the application process, the contributions policy). </w:t>
      </w:r>
    </w:p>
    <w:p w:rsidR="00CB639E" w:rsidRDefault="00CB639E" w:rsidP="00CB639E">
      <w:r>
        <w:t xml:space="preserve">VCOSS members note that while web-based information is useful for some clients, some of the people they support don’t have access to the internet. Members told us that people who don’t have internet access are likely to be amongst the same groups that need access to information about VLA. </w:t>
      </w:r>
    </w:p>
    <w:p w:rsidR="00CB639E" w:rsidRDefault="00CB639E" w:rsidP="00CB639E">
      <w:r>
        <w:t xml:space="preserve">VCOSS recommends using a number of mechanisms to communicate with potential VLA applicants, including plain language, navigable web-based information, plain language and community languages information in printed formats, and training about eligibility and relevant policies for community support workers. </w:t>
      </w:r>
    </w:p>
    <w:p w:rsidR="00CB639E" w:rsidRDefault="00CB639E" w:rsidP="00CB639E">
      <w:r>
        <w:t>Information that would be helpful for these audiences includes:</w:t>
      </w:r>
    </w:p>
    <w:p w:rsidR="00CB639E" w:rsidRDefault="00355ADA" w:rsidP="00CB639E">
      <w:pPr>
        <w:pStyle w:val="ListParagraph"/>
        <w:numPr>
          <w:ilvl w:val="0"/>
          <w:numId w:val="20"/>
        </w:numPr>
      </w:pPr>
      <w:r>
        <w:t>a</w:t>
      </w:r>
      <w:r w:rsidR="00CB639E">
        <w:t>n online means test indicator tool</w:t>
      </w:r>
    </w:p>
    <w:p w:rsidR="00CB639E" w:rsidRDefault="00355ADA" w:rsidP="00CB639E">
      <w:pPr>
        <w:pStyle w:val="ListParagraph"/>
        <w:numPr>
          <w:ilvl w:val="0"/>
          <w:numId w:val="20"/>
        </w:numPr>
      </w:pPr>
      <w:r>
        <w:t>in</w:t>
      </w:r>
      <w:r w:rsidR="00CB639E">
        <w:t>formation about how to apply for legal aid</w:t>
      </w:r>
    </w:p>
    <w:p w:rsidR="00CB639E" w:rsidRDefault="00355ADA" w:rsidP="00CB639E">
      <w:pPr>
        <w:pStyle w:val="ListParagraph"/>
        <w:numPr>
          <w:ilvl w:val="0"/>
          <w:numId w:val="20"/>
        </w:numPr>
      </w:pPr>
      <w:r>
        <w:t>th</w:t>
      </w:r>
      <w:r w:rsidR="00CB639E">
        <w:t>e policy on, and examples of the use of discretion in decision making</w:t>
      </w:r>
    </w:p>
    <w:p w:rsidR="00CB639E" w:rsidRDefault="00355ADA" w:rsidP="00CB639E">
      <w:pPr>
        <w:pStyle w:val="ListParagraph"/>
        <w:numPr>
          <w:ilvl w:val="0"/>
          <w:numId w:val="20"/>
        </w:numPr>
      </w:pPr>
      <w:r>
        <w:t>t</w:t>
      </w:r>
      <w:r w:rsidR="00CB639E">
        <w:t>he contributions policy, including how repayments can be made, and how much, and</w:t>
      </w:r>
    </w:p>
    <w:p w:rsidR="00CB639E" w:rsidRPr="00C20FE3" w:rsidRDefault="00355ADA" w:rsidP="00CB639E">
      <w:pPr>
        <w:pStyle w:val="ListParagraph"/>
        <w:numPr>
          <w:ilvl w:val="0"/>
          <w:numId w:val="20"/>
        </w:numPr>
      </w:pPr>
      <w:proofErr w:type="gramStart"/>
      <w:r>
        <w:t>t</w:t>
      </w:r>
      <w:r w:rsidR="00CB639E">
        <w:t>he</w:t>
      </w:r>
      <w:proofErr w:type="gramEnd"/>
      <w:r w:rsidR="00CB639E">
        <w:t xml:space="preserve"> policy on financial hardship for reducing/waiving a legal aid debt.</w:t>
      </w:r>
    </w:p>
    <w:p w:rsidR="00CB639E" w:rsidRDefault="00CB639E" w:rsidP="00CB639E">
      <w:pPr>
        <w:pStyle w:val="Heading2"/>
      </w:pPr>
      <w:bookmarkStart w:id="30" w:name="_Toc485713980"/>
      <w:bookmarkStart w:id="31" w:name="_Toc486257365"/>
      <w:r>
        <w:t>Partner with the community sector</w:t>
      </w:r>
      <w:bookmarkEnd w:id="30"/>
      <w:bookmarkEnd w:id="31"/>
    </w:p>
    <w:p w:rsidR="00CB639E" w:rsidRDefault="00CB639E" w:rsidP="00CB639E">
      <w:r>
        <w:t>VCOSS recommends VLA outreach into the community which could include communicating directly with community sector workers who are likely to have contact with people needing legal support.</w:t>
      </w:r>
    </w:p>
    <w:p w:rsidR="00CB639E" w:rsidRPr="005E1DE7" w:rsidRDefault="00CB639E" w:rsidP="00CB639E">
      <w:r>
        <w:t xml:space="preserve">Members told us that sometimes people don’t know they have a legal problem and might need support from the community sector to identify their problem and assistance to seek legal advice. In these cases, it is helpful for a broader range of professionals to have an understanding of the VLA’s policies and application process, which would support holistic responses to people who need legal assistance. </w:t>
      </w:r>
      <w:r w:rsidRPr="005E1DE7">
        <w:t xml:space="preserve">This </w:t>
      </w:r>
      <w:r>
        <w:t xml:space="preserve">was reinforced by the Productivity Commission’s inquiry into access to </w:t>
      </w:r>
      <w:r>
        <w:lastRenderedPageBreak/>
        <w:t>justice who found there is a need for “holistic services, outreach, training of non-legal community workers to identify legal problems, and legal health checks would identify those who need additional assistance and help them to navigate the civil justice system.”</w:t>
      </w:r>
      <w:r>
        <w:rPr>
          <w:rStyle w:val="FootnoteReference"/>
        </w:rPr>
        <w:footnoteReference w:id="21"/>
      </w:r>
    </w:p>
    <w:p w:rsidR="00CB639E" w:rsidRDefault="00CB639E" w:rsidP="00CB639E">
      <w:pPr>
        <w:rPr>
          <w:u w:val="single"/>
        </w:rPr>
      </w:pPr>
    </w:p>
    <w:p w:rsidR="00CB639E" w:rsidRDefault="00CB639E" w:rsidP="00CB639E"/>
    <w:p w:rsidR="00355ADA" w:rsidRDefault="00355ADA">
      <w:pPr>
        <w:spacing w:before="200"/>
        <w:rPr>
          <w:b/>
          <w:color w:val="D84920"/>
          <w:sz w:val="50"/>
          <w:szCs w:val="50"/>
        </w:rPr>
      </w:pPr>
      <w:bookmarkStart w:id="32" w:name="_Toc485713984"/>
      <w:r>
        <w:br w:type="page"/>
      </w:r>
    </w:p>
    <w:p w:rsidR="00CB639E" w:rsidRPr="007A4E39" w:rsidRDefault="00CB639E" w:rsidP="00CB639E">
      <w:pPr>
        <w:pStyle w:val="Heading1"/>
      </w:pPr>
      <w:bookmarkStart w:id="33" w:name="_Toc486257366"/>
      <w:r>
        <w:lastRenderedPageBreak/>
        <w:t>Other matters</w:t>
      </w:r>
      <w:bookmarkEnd w:id="32"/>
      <w:bookmarkEnd w:id="33"/>
    </w:p>
    <w:p w:rsidR="00CB639E" w:rsidRDefault="00CB639E" w:rsidP="00CB639E">
      <w:pPr>
        <w:pStyle w:val="Heading2"/>
      </w:pPr>
      <w:bookmarkStart w:id="34" w:name="_Toc485713985"/>
      <w:bookmarkStart w:id="35" w:name="_Toc486257367"/>
      <w:r>
        <w:t>Conflict</w:t>
      </w:r>
      <w:r w:rsidR="00355ADA">
        <w:t>s</w:t>
      </w:r>
      <w:r>
        <w:t xml:space="preserve"> of interest</w:t>
      </w:r>
      <w:bookmarkEnd w:id="34"/>
      <w:bookmarkEnd w:id="35"/>
    </w:p>
    <w:p w:rsidR="00CB639E" w:rsidRDefault="00CB639E" w:rsidP="00CB639E">
      <w:r>
        <w:t>Members from rural and regional areas told VCOSS that the availability of lawyers in some areas results in priority client</w:t>
      </w:r>
      <w:r w:rsidR="000450E8">
        <w:t>s</w:t>
      </w:r>
      <w:r>
        <w:t xml:space="preserve"> missing out on legal assistance</w:t>
      </w:r>
      <w:r w:rsidR="008A77BA">
        <w:t xml:space="preserve"> because of conflict of interest (that is, where a law firm has acted for a person in one matter and is then asked to act against them in another matter)</w:t>
      </w:r>
      <w:r>
        <w:t xml:space="preserve">. VCOSS members </w:t>
      </w:r>
      <w:r w:rsidR="000450E8">
        <w:t>told us that availability of lawyers for family violence and child protection matters is contingent on availability of lawyers, rather than the means test. This was raised as a significant issue to be considered as part of this review.</w:t>
      </w:r>
    </w:p>
    <w:p w:rsidR="0068027C" w:rsidRDefault="0068027C" w:rsidP="0068027C">
      <w:pPr>
        <w:pStyle w:val="Heading2"/>
      </w:pPr>
      <w:bookmarkStart w:id="36" w:name="_Toc486257368"/>
      <w:r>
        <w:t>Estimated legal costs</w:t>
      </w:r>
      <w:bookmarkEnd w:id="36"/>
    </w:p>
    <w:p w:rsidR="00765957" w:rsidRDefault="00355ADA" w:rsidP="0068027C">
      <w:pPr>
        <w:spacing w:before="200"/>
      </w:pPr>
      <w:r>
        <w:t>VLA should r</w:t>
      </w:r>
      <w:r w:rsidR="0068027C">
        <w:t>eview the cost categories to ensure they appropriately reflect the cost of providing legal services and that the types of legal matters are approp</w:t>
      </w:r>
      <w:r>
        <w:t xml:space="preserve">riately </w:t>
      </w:r>
      <w:proofErr w:type="spellStart"/>
      <w:r>
        <w:t>categorised</w:t>
      </w:r>
      <w:proofErr w:type="spellEnd"/>
      <w:r>
        <w:t>. This may</w:t>
      </w:r>
      <w:r w:rsidR="0068027C">
        <w:t xml:space="preserve"> require the addition of new cost categories.</w:t>
      </w:r>
    </w:p>
    <w:p w:rsidR="0068027C" w:rsidRDefault="0068027C" w:rsidP="0068027C">
      <w:pPr>
        <w:pStyle w:val="Heading2"/>
      </w:pPr>
      <w:bookmarkStart w:id="37" w:name="_Toc486257369"/>
      <w:r>
        <w:t>Discretion</w:t>
      </w:r>
      <w:bookmarkEnd w:id="37"/>
    </w:p>
    <w:p w:rsidR="0068027C" w:rsidRDefault="0068027C" w:rsidP="0068027C">
      <w:r>
        <w:t>VCOSS acknowledges there are some issues that are currently dealt with through discr</w:t>
      </w:r>
      <w:r w:rsidR="00355ADA">
        <w:t>etion that should be incorporated within</w:t>
      </w:r>
      <w:r>
        <w:t xml:space="preserve"> the means test. The examples p</w:t>
      </w:r>
      <w:r w:rsidR="00355ADA">
        <w:t>rovided in Options Paper Part A</w:t>
      </w:r>
      <w:r w:rsidR="00D51886">
        <w:t xml:space="preserve">, </w:t>
      </w:r>
      <w:r>
        <w:t>ongoing me</w:t>
      </w:r>
      <w:r w:rsidR="00355ADA">
        <w:t>dical costs or terminal illness</w:t>
      </w:r>
      <w:r w:rsidR="00D51886">
        <w:t xml:space="preserve">, </w:t>
      </w:r>
      <w:r>
        <w:t>are</w:t>
      </w:r>
      <w:r w:rsidR="00355ADA">
        <w:t xml:space="preserve"> </w:t>
      </w:r>
      <w:r>
        <w:t xml:space="preserve">those likely to create significant disadvantage for the person experiencing them. Allowing simpler mechanisms for people in those situations to “flag” </w:t>
      </w:r>
      <w:r w:rsidR="00D51886">
        <w:t xml:space="preserve">early </w:t>
      </w:r>
      <w:r>
        <w:t xml:space="preserve">that they are impacted by </w:t>
      </w:r>
      <w:r w:rsidR="00D51886">
        <w:t xml:space="preserve">such issues </w:t>
      </w:r>
      <w:r>
        <w:t xml:space="preserve">fair approach. </w:t>
      </w:r>
    </w:p>
    <w:p w:rsidR="00765957" w:rsidRDefault="00765957" w:rsidP="00D145B8">
      <w:pPr>
        <w:spacing w:before="200"/>
      </w:pPr>
    </w:p>
    <w:p w:rsidR="00765957" w:rsidRDefault="00765957" w:rsidP="00D145B8">
      <w:pPr>
        <w:spacing w:before="200"/>
        <w:sectPr w:rsidR="00765957" w:rsidSect="00BF4B30">
          <w:pgSz w:w="11900" w:h="16840"/>
          <w:pgMar w:top="1985" w:right="1134" w:bottom="1134" w:left="1134" w:header="709" w:footer="389" w:gutter="0"/>
          <w:pgNumType w:start="1"/>
          <w:cols w:space="708"/>
          <w:docGrid w:linePitch="360"/>
        </w:sectPr>
      </w:pPr>
    </w:p>
    <w:p w:rsidR="005D2943" w:rsidRPr="009519D2" w:rsidRDefault="0037078A" w:rsidP="00CE5762">
      <w:r>
        <w:rPr>
          <w:noProof/>
          <w:lang w:val="en-AU" w:eastAsia="en-AU"/>
        </w:rPr>
        <w:lastRenderedPageBreak/>
        <w:drawing>
          <wp:anchor distT="0" distB="0" distL="114300" distR="114300" simplePos="0" relativeHeight="251665408" behindDoc="1" locked="0" layoutInCell="1" allowOverlap="1" wp14:anchorId="3A7A9731" wp14:editId="0C070C32">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4">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286" w:rsidRDefault="00071286" w:rsidP="00CE5762">
      <w:r>
        <w:separator/>
      </w:r>
    </w:p>
  </w:endnote>
  <w:endnote w:type="continuationSeparator" w:id="0">
    <w:p w:rsidR="00071286" w:rsidRDefault="00071286"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rsidR="00071286" w:rsidRPr="00007C97" w:rsidRDefault="00071286"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rsidR="00071286" w:rsidRPr="00007C97" w:rsidRDefault="00071286"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86" w:rsidRPr="00583743" w:rsidRDefault="00071286" w:rsidP="00CE5762">
    <w:pPr>
      <w:pStyle w:val="Footer"/>
      <w:rPr>
        <w:rStyle w:val="PageNumber"/>
        <w:sz w:val="18"/>
        <w:szCs w:val="18"/>
      </w:rPr>
    </w:pP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732F0E">
      <w:rPr>
        <w:rStyle w:val="PageNumber"/>
        <w:noProof/>
        <w:sz w:val="18"/>
        <w:szCs w:val="18"/>
      </w:rPr>
      <w:t>10</w:t>
    </w:r>
    <w:r w:rsidRPr="00583743">
      <w:rPr>
        <w:rStyle w:val="PageNumber"/>
        <w:sz w:val="18"/>
        <w:szCs w:val="18"/>
      </w:rPr>
      <w:fldChar w:fldCharType="end"/>
    </w:r>
  </w:p>
  <w:p w:rsidR="00071286" w:rsidRPr="00583743" w:rsidRDefault="00071286"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286" w:rsidRDefault="00071286" w:rsidP="00CE5762">
      <w:r>
        <w:separator/>
      </w:r>
    </w:p>
  </w:footnote>
  <w:footnote w:type="continuationSeparator" w:id="0">
    <w:p w:rsidR="00071286" w:rsidRDefault="00071286" w:rsidP="00CE5762">
      <w:r>
        <w:continuationSeparator/>
      </w:r>
    </w:p>
  </w:footnote>
  <w:footnote w:id="1">
    <w:p w:rsidR="00071286" w:rsidRDefault="00071286" w:rsidP="00765957">
      <w:pPr>
        <w:pStyle w:val="FootnoteText"/>
      </w:pPr>
      <w:r>
        <w:rPr>
          <w:rStyle w:val="FootnoteReference"/>
        </w:rPr>
        <w:footnoteRef/>
      </w:r>
      <w:r>
        <w:t xml:space="preserve"> Australian Law Reform Commission </w:t>
      </w:r>
      <w:r>
        <w:rPr>
          <w:i/>
        </w:rPr>
        <w:t xml:space="preserve">Traditional Rights and Freedoms – Encroachments by Commonwealth Laws (ALRC Interim Report 127) </w:t>
      </w:r>
      <w:r>
        <w:t>Australian Law Reform Commission, 2015, para. 10.114.</w:t>
      </w:r>
    </w:p>
  </w:footnote>
  <w:footnote w:id="2">
    <w:p w:rsidR="00071286" w:rsidRDefault="00071286" w:rsidP="00765957">
      <w:pPr>
        <w:pStyle w:val="FootnoteText"/>
      </w:pPr>
      <w:r>
        <w:rPr>
          <w:rStyle w:val="FootnoteReference"/>
        </w:rPr>
        <w:footnoteRef/>
      </w:r>
      <w:r>
        <w:t xml:space="preserve"> A Flynn, J Hodgson, J McCulloch and B Naylor, “Legal Aid and Access to Legal Representation: Redefining the right to a fair trial”, </w:t>
      </w:r>
      <w:r>
        <w:rPr>
          <w:i/>
        </w:rPr>
        <w:t>Melbourne University Law Review Vol 40:207</w:t>
      </w:r>
      <w:r>
        <w:t xml:space="preserve"> 2016, p. 210.</w:t>
      </w:r>
    </w:p>
  </w:footnote>
  <w:footnote w:id="3">
    <w:p w:rsidR="00071286" w:rsidRDefault="00071286" w:rsidP="00765957">
      <w:pPr>
        <w:pStyle w:val="FootnoteText"/>
      </w:pPr>
      <w:r>
        <w:rPr>
          <w:rStyle w:val="FootnoteReference"/>
        </w:rPr>
        <w:footnoteRef/>
      </w:r>
      <w:r>
        <w:t xml:space="preserve"> </w:t>
      </w:r>
      <w:r w:rsidRPr="0075439F">
        <w:t xml:space="preserve">State of Victoria, </w:t>
      </w:r>
      <w:r w:rsidRPr="00CD1F73">
        <w:rPr>
          <w:i/>
        </w:rPr>
        <w:t>Royal Commission into Family Violence: Report and recommendations, Vol III, Parl Paper No 132</w:t>
      </w:r>
      <w:r>
        <w:t>, 2014-16</w:t>
      </w:r>
      <w:r w:rsidRPr="0075439F">
        <w:t>,</w:t>
      </w:r>
      <w:r>
        <w:t xml:space="preserve"> p. 129.</w:t>
      </w:r>
    </w:p>
  </w:footnote>
  <w:footnote w:id="4">
    <w:p w:rsidR="00071286" w:rsidRDefault="00071286" w:rsidP="00725C08">
      <w:pPr>
        <w:pStyle w:val="FootnoteText"/>
      </w:pPr>
      <w:r>
        <w:rPr>
          <w:rStyle w:val="FootnoteReference"/>
        </w:rPr>
        <w:footnoteRef/>
      </w:r>
      <w:r>
        <w:t xml:space="preserve"> P Mendes, S </w:t>
      </w:r>
      <w:proofErr w:type="spellStart"/>
      <w:r>
        <w:t>Baidawi</w:t>
      </w:r>
      <w:proofErr w:type="spellEnd"/>
      <w:r>
        <w:t xml:space="preserve">, PC Snow, </w:t>
      </w:r>
      <w:r w:rsidRPr="00725C08">
        <w:rPr>
          <w:i/>
        </w:rPr>
        <w:t>Good Practice in Reducing the Over-Representation of Care Leavers in the Youth Justice System. Leaving Care and Youth Justice – Phase Three Report</w:t>
      </w:r>
      <w:r>
        <w:t>.</w:t>
      </w:r>
      <w:r w:rsidRPr="00725C08">
        <w:t xml:space="preserve"> </w:t>
      </w:r>
      <w:r>
        <w:t>2014, p. 18</w:t>
      </w:r>
    </w:p>
  </w:footnote>
  <w:footnote w:id="5">
    <w:p w:rsidR="00071286" w:rsidRDefault="00071286" w:rsidP="00765957">
      <w:pPr>
        <w:pStyle w:val="FootnoteText"/>
      </w:pPr>
      <w:r>
        <w:rPr>
          <w:rStyle w:val="FootnoteReference"/>
        </w:rPr>
        <w:footnoteRef/>
      </w:r>
      <w:r>
        <w:t xml:space="preserve"> Productivity Commission, </w:t>
      </w:r>
      <w:r>
        <w:rPr>
          <w:i/>
        </w:rPr>
        <w:t>Access to Justice Arrangements: Overview</w:t>
      </w:r>
      <w:r>
        <w:t xml:space="preserve"> Inquiry Report No. 72, 2014, p. 2.</w:t>
      </w:r>
    </w:p>
  </w:footnote>
  <w:footnote w:id="6">
    <w:p w:rsidR="00071286" w:rsidRPr="00097FFD" w:rsidRDefault="00071286" w:rsidP="005E023C">
      <w:pPr>
        <w:pStyle w:val="FootnoteText"/>
      </w:pPr>
      <w:r w:rsidRPr="00097FFD">
        <w:rPr>
          <w:rStyle w:val="FootnoteReference"/>
        </w:rPr>
        <w:footnoteRef/>
      </w:r>
      <w:r w:rsidRPr="00097FFD">
        <w:t xml:space="preserve"> Australian Council of Social Service and Social Policy Research Centre, </w:t>
      </w:r>
      <w:r w:rsidRPr="00097FFD">
        <w:rPr>
          <w:i/>
        </w:rPr>
        <w:t>Poverty in Australia 2016</w:t>
      </w:r>
      <w:r w:rsidRPr="00097FFD">
        <w:t>, 2016.</w:t>
      </w:r>
    </w:p>
  </w:footnote>
  <w:footnote w:id="7">
    <w:p w:rsidR="00071286" w:rsidRDefault="00071286">
      <w:pPr>
        <w:pStyle w:val="FootnoteText"/>
      </w:pPr>
      <w:r w:rsidRPr="00097FFD">
        <w:rPr>
          <w:rStyle w:val="FootnoteReference"/>
        </w:rPr>
        <w:footnoteRef/>
      </w:r>
      <w:r w:rsidRPr="00097FFD">
        <w:t xml:space="preserve"> The Salvation Army, </w:t>
      </w:r>
      <w:proofErr w:type="gramStart"/>
      <w:r w:rsidRPr="00097FFD">
        <w:rPr>
          <w:i/>
        </w:rPr>
        <w:t>The</w:t>
      </w:r>
      <w:proofErr w:type="gramEnd"/>
      <w:r w:rsidRPr="00097FFD">
        <w:rPr>
          <w:i/>
        </w:rPr>
        <w:t xml:space="preserve"> Hard Road: National Economic &amp; Social Impact Survey 2017</w:t>
      </w:r>
      <w:r w:rsidRPr="00097FFD">
        <w:t xml:space="preserve">, 2017, </w:t>
      </w:r>
      <w:r>
        <w:t xml:space="preserve">p. </w:t>
      </w:r>
      <w:r w:rsidRPr="00097FFD">
        <w:t>32.</w:t>
      </w:r>
    </w:p>
  </w:footnote>
  <w:footnote w:id="8">
    <w:p w:rsidR="00071286" w:rsidRPr="00072CA9" w:rsidRDefault="00071286">
      <w:pPr>
        <w:pStyle w:val="FootnoteText"/>
      </w:pPr>
      <w:r>
        <w:rPr>
          <w:rStyle w:val="FootnoteReference"/>
        </w:rPr>
        <w:footnoteRef/>
      </w:r>
      <w:r>
        <w:t xml:space="preserve"> Victoria Legal Aid, </w:t>
      </w:r>
      <w:r>
        <w:rPr>
          <w:i/>
        </w:rPr>
        <w:t>Means Test Review – Options Paper Part A: How do we measure eligibility</w:t>
      </w:r>
      <w:proofErr w:type="gramStart"/>
      <w:r>
        <w:rPr>
          <w:i/>
        </w:rPr>
        <w:t>?</w:t>
      </w:r>
      <w:r>
        <w:t>,</w:t>
      </w:r>
      <w:proofErr w:type="gramEnd"/>
      <w:r>
        <w:t xml:space="preserve"> April 2017, p. 3.</w:t>
      </w:r>
    </w:p>
  </w:footnote>
  <w:footnote w:id="9">
    <w:p w:rsidR="00071286" w:rsidRDefault="00071286">
      <w:pPr>
        <w:pStyle w:val="FootnoteText"/>
      </w:pPr>
      <w:r>
        <w:rPr>
          <w:rStyle w:val="FootnoteReference"/>
        </w:rPr>
        <w:footnoteRef/>
      </w:r>
      <w:r>
        <w:t xml:space="preserve"> Australian Council of Social Service and the Social Policy Research Centre, op </w:t>
      </w:r>
      <w:proofErr w:type="spellStart"/>
      <w:r>
        <w:t>cit</w:t>
      </w:r>
      <w:proofErr w:type="spellEnd"/>
      <w:r>
        <w:t xml:space="preserve">, p. </w:t>
      </w:r>
      <w:r w:rsidRPr="00342E83">
        <w:t>9</w:t>
      </w:r>
      <w:r>
        <w:t>.</w:t>
      </w:r>
    </w:p>
  </w:footnote>
  <w:footnote w:id="10">
    <w:p w:rsidR="00071286" w:rsidRDefault="00071286" w:rsidP="00EC4D4C">
      <w:pPr>
        <w:pStyle w:val="FootnoteText"/>
      </w:pPr>
      <w:r>
        <w:rPr>
          <w:rStyle w:val="FootnoteReference"/>
        </w:rPr>
        <w:footnoteRef/>
      </w:r>
      <w:r>
        <w:t xml:space="preserve"> Ibid.</w:t>
      </w:r>
    </w:p>
  </w:footnote>
  <w:footnote w:id="11">
    <w:p w:rsidR="00071286" w:rsidRDefault="00071286">
      <w:pPr>
        <w:pStyle w:val="FootnoteText"/>
      </w:pPr>
      <w:r>
        <w:rPr>
          <w:rStyle w:val="FootnoteReference"/>
        </w:rPr>
        <w:footnoteRef/>
      </w:r>
      <w:r>
        <w:t xml:space="preserve"> See Australian Government, Department of Human Services, ‘Pension loans scheme’, https://www.humanservices.gov.au/customer/services/centrelink/pension-loans-scheme?utm_id=7 accessed 21 June 2017.</w:t>
      </w:r>
    </w:p>
  </w:footnote>
  <w:footnote w:id="12">
    <w:p w:rsidR="00071286" w:rsidRPr="00F5487E" w:rsidRDefault="00071286" w:rsidP="00700279">
      <w:pPr>
        <w:pStyle w:val="FootnoteText"/>
      </w:pPr>
      <w:r>
        <w:rPr>
          <w:rStyle w:val="FootnoteReference"/>
        </w:rPr>
        <w:footnoteRef/>
      </w:r>
      <w:r>
        <w:t xml:space="preserve"> National Australia Bank and Centre for Social Impact, </w:t>
      </w:r>
      <w:r>
        <w:rPr>
          <w:i/>
        </w:rPr>
        <w:t>Financial Resilience in Australia 2015</w:t>
      </w:r>
      <w:r>
        <w:t>, August 2016.</w:t>
      </w:r>
    </w:p>
  </w:footnote>
  <w:footnote w:id="13">
    <w:p w:rsidR="00071286" w:rsidRDefault="00071286" w:rsidP="00055CB8">
      <w:pPr>
        <w:pStyle w:val="FootnoteText"/>
      </w:pPr>
      <w:r>
        <w:rPr>
          <w:rStyle w:val="FootnoteReference"/>
        </w:rPr>
        <w:footnoteRef/>
      </w:r>
      <w:r>
        <w:t xml:space="preserve"> See Australian Government, Department of Human Services, ‘Grounds for early release of superannuation’, https://www.humanservices.gov.au/customer/enablers/grounds-early-release-superannuation accessed 21 June 2017.</w:t>
      </w:r>
    </w:p>
  </w:footnote>
  <w:footnote w:id="14">
    <w:p w:rsidR="00071286" w:rsidRDefault="00071286">
      <w:pPr>
        <w:pStyle w:val="FootnoteText"/>
      </w:pPr>
      <w:r>
        <w:rPr>
          <w:rStyle w:val="FootnoteReference"/>
        </w:rPr>
        <w:footnoteRef/>
      </w:r>
      <w:r>
        <w:t xml:space="preserve"> Victoria Legal Aid, </w:t>
      </w:r>
      <w:r>
        <w:rPr>
          <w:i/>
        </w:rPr>
        <w:t>Means Test Review – Options Paper Part B: Making the means test better</w:t>
      </w:r>
      <w:r>
        <w:t>, April 2017, p. 9.</w:t>
      </w:r>
    </w:p>
  </w:footnote>
  <w:footnote w:id="15">
    <w:p w:rsidR="00071286" w:rsidRDefault="00071286" w:rsidP="00CB639E">
      <w:pPr>
        <w:pStyle w:val="FootnoteText"/>
      </w:pPr>
      <w:r>
        <w:rPr>
          <w:rStyle w:val="FootnoteReference"/>
        </w:rPr>
        <w:footnoteRef/>
      </w:r>
      <w:r>
        <w:t xml:space="preserve"> State Government of Victoria, </w:t>
      </w:r>
      <w:r>
        <w:rPr>
          <w:i/>
        </w:rPr>
        <w:t>Access to Justice Review: Report and recommendations (Volume 2)</w:t>
      </w:r>
      <w:r>
        <w:t>, 2016 p. 428</w:t>
      </w:r>
    </w:p>
  </w:footnote>
  <w:footnote w:id="16">
    <w:p w:rsidR="00071286" w:rsidRDefault="00071286" w:rsidP="00CB639E">
      <w:pPr>
        <w:pStyle w:val="FootnoteText"/>
      </w:pPr>
      <w:r>
        <w:rPr>
          <w:rStyle w:val="FootnoteReference"/>
        </w:rPr>
        <w:footnoteRef/>
      </w:r>
      <w:r>
        <w:t xml:space="preserve"> Victoria Legal Aid, </w:t>
      </w:r>
      <w:r>
        <w:rPr>
          <w:i/>
        </w:rPr>
        <w:t xml:space="preserve">Means Test Review Options Paper - Part A: How do we measure eligibility? </w:t>
      </w:r>
      <w:r>
        <w:t>2017 p. 9.</w:t>
      </w:r>
    </w:p>
  </w:footnote>
  <w:footnote w:id="17">
    <w:p w:rsidR="00071286" w:rsidRPr="007C72E6" w:rsidRDefault="00071286" w:rsidP="00CB639E">
      <w:pPr>
        <w:pStyle w:val="FootnoteText"/>
      </w:pPr>
      <w:r>
        <w:rPr>
          <w:rStyle w:val="FootnoteReference"/>
        </w:rPr>
        <w:footnoteRef/>
      </w:r>
      <w:r>
        <w:t xml:space="preserve"> T Vinson, M </w:t>
      </w:r>
      <w:proofErr w:type="spellStart"/>
      <w:r>
        <w:t>Rawsthorne</w:t>
      </w:r>
      <w:proofErr w:type="spellEnd"/>
      <w:r>
        <w:t xml:space="preserve">, A Bevis and M Ericson, </w:t>
      </w:r>
      <w:r>
        <w:rPr>
          <w:i/>
        </w:rPr>
        <w:t>Dropping off the edge 2015: Persistent communal disadvantage in Australia</w:t>
      </w:r>
      <w:r>
        <w:t>, 2015 Jesuit Social Services/Catholic Social Services, p. 10.</w:t>
      </w:r>
    </w:p>
  </w:footnote>
  <w:footnote w:id="18">
    <w:p w:rsidR="00071286" w:rsidRPr="00F14937" w:rsidRDefault="00071286" w:rsidP="00CB639E">
      <w:pPr>
        <w:pStyle w:val="FootnoteText"/>
        <w:rPr>
          <w:i/>
        </w:rPr>
      </w:pPr>
      <w:r>
        <w:rPr>
          <w:rStyle w:val="FootnoteReference"/>
        </w:rPr>
        <w:footnoteRef/>
      </w:r>
      <w:r>
        <w:t xml:space="preserve"> Victoria Legal Aid </w:t>
      </w:r>
      <w:r w:rsidRPr="00F14937">
        <w:rPr>
          <w:i/>
        </w:rPr>
        <w:t>Options Paper Part A</w:t>
      </w:r>
      <w:r>
        <w:rPr>
          <w:i/>
        </w:rPr>
        <w:t xml:space="preserve"> - How do we measure eligibility</w:t>
      </w:r>
      <w:proofErr w:type="gramStart"/>
      <w:r>
        <w:rPr>
          <w:i/>
        </w:rPr>
        <w:t>?,</w:t>
      </w:r>
      <w:proofErr w:type="gramEnd"/>
      <w:r w:rsidRPr="00F14937">
        <w:rPr>
          <w:i/>
        </w:rPr>
        <w:t xml:space="preserve"> </w:t>
      </w:r>
      <w:r w:rsidRPr="00F14937">
        <w:t>p. 13</w:t>
      </w:r>
      <w:r w:rsidRPr="00F14937">
        <w:rPr>
          <w:i/>
        </w:rPr>
        <w:t>.</w:t>
      </w:r>
    </w:p>
  </w:footnote>
  <w:footnote w:id="19">
    <w:p w:rsidR="00071286" w:rsidRDefault="00071286" w:rsidP="00CB639E">
      <w:pPr>
        <w:pStyle w:val="FootnoteText"/>
      </w:pPr>
      <w:r>
        <w:rPr>
          <w:rStyle w:val="FootnoteReference"/>
        </w:rPr>
        <w:footnoteRef/>
      </w:r>
      <w:r>
        <w:t xml:space="preserve"> Royal Commission into Family Violence, </w:t>
      </w:r>
      <w:r>
        <w:rPr>
          <w:i/>
        </w:rPr>
        <w:t>Royal Commission into Family Violence: Report and Recommendations Vol III, Parl paper 132</w:t>
      </w:r>
      <w:r>
        <w:t>, 2016 p. 147.</w:t>
      </w:r>
    </w:p>
  </w:footnote>
  <w:footnote w:id="20">
    <w:p w:rsidR="00071286" w:rsidRDefault="00071286" w:rsidP="00814B0B">
      <w:pPr>
        <w:pStyle w:val="FootnoteText"/>
      </w:pPr>
      <w:r>
        <w:rPr>
          <w:rStyle w:val="FootnoteReference"/>
        </w:rPr>
        <w:footnoteRef/>
      </w:r>
      <w:r>
        <w:t xml:space="preserve"> Victoria Legal Aid </w:t>
      </w:r>
      <w:r w:rsidRPr="00F14937">
        <w:rPr>
          <w:i/>
        </w:rPr>
        <w:t>Options Paper Part A</w:t>
      </w:r>
      <w:r>
        <w:rPr>
          <w:i/>
        </w:rPr>
        <w:t xml:space="preserve"> - How do we measure eligibility</w:t>
      </w:r>
      <w:proofErr w:type="gramStart"/>
      <w:r>
        <w:rPr>
          <w:i/>
        </w:rPr>
        <w:t>?,</w:t>
      </w:r>
      <w:proofErr w:type="gramEnd"/>
      <w:r w:rsidRPr="00F14937">
        <w:rPr>
          <w:i/>
        </w:rPr>
        <w:t xml:space="preserve"> </w:t>
      </w:r>
      <w:r w:rsidRPr="00F14937">
        <w:t>p. 8.</w:t>
      </w:r>
    </w:p>
  </w:footnote>
  <w:footnote w:id="21">
    <w:p w:rsidR="00071286" w:rsidRDefault="00071286" w:rsidP="00CB639E">
      <w:pPr>
        <w:pStyle w:val="FootnoteText"/>
      </w:pPr>
      <w:r>
        <w:rPr>
          <w:rStyle w:val="FootnoteReference"/>
        </w:rPr>
        <w:footnoteRef/>
      </w:r>
      <w:r>
        <w:t xml:space="preserve"> Productivity Commission, op cit., </w:t>
      </w:r>
      <w:r w:rsidRPr="00F14937">
        <w:t>p</w:t>
      </w:r>
      <w:r>
        <w:t xml:space="preserve">. </w:t>
      </w:r>
      <w:r w:rsidRPr="00F14937">
        <w:t>9</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rsidR="00071286" w:rsidRDefault="00071286"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rsidR="00071286" w:rsidRDefault="00071286"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86" w:rsidRDefault="00071286" w:rsidP="00CE5762">
    <w:pPr>
      <w:pStyle w:val="Header"/>
    </w:pPr>
    <w:r>
      <w:rPr>
        <w:noProof/>
        <w:lang w:val="en-AU" w:eastAsia="en-AU"/>
      </w:rPr>
      <w:drawing>
        <wp:anchor distT="0" distB="0" distL="114300" distR="114300" simplePos="0" relativeHeight="251658240" behindDoc="1" locked="0" layoutInCell="1" allowOverlap="1" wp14:anchorId="0721041C" wp14:editId="18A754B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0174"/>
    <w:multiLevelType w:val="hybridMultilevel"/>
    <w:tmpl w:val="B734E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 w15:restartNumberingAfterBreak="0">
    <w:nsid w:val="04834B4D"/>
    <w:multiLevelType w:val="hybridMultilevel"/>
    <w:tmpl w:val="B54CC40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093B4FD0"/>
    <w:multiLevelType w:val="hybridMultilevel"/>
    <w:tmpl w:val="6438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612E9"/>
    <w:multiLevelType w:val="hybridMultilevel"/>
    <w:tmpl w:val="33B28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6004D5"/>
    <w:multiLevelType w:val="hybridMultilevel"/>
    <w:tmpl w:val="3C421382"/>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5" w15:restartNumberingAfterBreak="0">
    <w:nsid w:val="0F9C0E79"/>
    <w:multiLevelType w:val="hybridMultilevel"/>
    <w:tmpl w:val="B43E5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44512"/>
    <w:multiLevelType w:val="hybridMultilevel"/>
    <w:tmpl w:val="1AFA5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94210E"/>
    <w:multiLevelType w:val="hybridMultilevel"/>
    <w:tmpl w:val="A4BA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C23B05"/>
    <w:multiLevelType w:val="hybridMultilevel"/>
    <w:tmpl w:val="EFA66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867A38"/>
    <w:multiLevelType w:val="hybridMultilevel"/>
    <w:tmpl w:val="EC645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5A1C07"/>
    <w:multiLevelType w:val="hybridMultilevel"/>
    <w:tmpl w:val="BE40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527B5F"/>
    <w:multiLevelType w:val="hybridMultilevel"/>
    <w:tmpl w:val="E90285A2"/>
    <w:lvl w:ilvl="0" w:tplc="0178D5E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A665BA"/>
    <w:multiLevelType w:val="hybridMultilevel"/>
    <w:tmpl w:val="A80ED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245A49"/>
    <w:multiLevelType w:val="hybridMultilevel"/>
    <w:tmpl w:val="C25A73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E3541CB"/>
    <w:multiLevelType w:val="hybridMultilevel"/>
    <w:tmpl w:val="71E61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E429C"/>
    <w:multiLevelType w:val="hybridMultilevel"/>
    <w:tmpl w:val="507AD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AD4CD9"/>
    <w:multiLevelType w:val="hybridMultilevel"/>
    <w:tmpl w:val="EFE48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6DC26D63"/>
    <w:multiLevelType w:val="hybridMultilevel"/>
    <w:tmpl w:val="99168D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572346"/>
    <w:multiLevelType w:val="hybridMultilevel"/>
    <w:tmpl w:val="D370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4" w15:restartNumberingAfterBreak="0">
    <w:nsid w:val="79981AC5"/>
    <w:multiLevelType w:val="hybridMultilevel"/>
    <w:tmpl w:val="577495C4"/>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num w:numId="1">
    <w:abstractNumId w:val="8"/>
  </w:num>
  <w:num w:numId="2">
    <w:abstractNumId w:val="23"/>
  </w:num>
  <w:num w:numId="3">
    <w:abstractNumId w:val="20"/>
  </w:num>
  <w:num w:numId="4">
    <w:abstractNumId w:val="16"/>
  </w:num>
  <w:num w:numId="5">
    <w:abstractNumId w:val="17"/>
  </w:num>
  <w:num w:numId="6">
    <w:abstractNumId w:val="7"/>
  </w:num>
  <w:num w:numId="7">
    <w:abstractNumId w:val="12"/>
  </w:num>
  <w:num w:numId="8">
    <w:abstractNumId w:val="22"/>
  </w:num>
  <w:num w:numId="9">
    <w:abstractNumId w:val="21"/>
  </w:num>
  <w:num w:numId="10">
    <w:abstractNumId w:val="24"/>
  </w:num>
  <w:num w:numId="11">
    <w:abstractNumId w:val="1"/>
  </w:num>
  <w:num w:numId="12">
    <w:abstractNumId w:val="10"/>
  </w:num>
  <w:num w:numId="13">
    <w:abstractNumId w:val="2"/>
  </w:num>
  <w:num w:numId="14">
    <w:abstractNumId w:val="18"/>
  </w:num>
  <w:num w:numId="15">
    <w:abstractNumId w:val="4"/>
  </w:num>
  <w:num w:numId="16">
    <w:abstractNumId w:val="13"/>
  </w:num>
  <w:num w:numId="17">
    <w:abstractNumId w:val="9"/>
  </w:num>
  <w:num w:numId="18">
    <w:abstractNumId w:val="14"/>
  </w:num>
  <w:num w:numId="19">
    <w:abstractNumId w:val="15"/>
  </w:num>
  <w:num w:numId="20">
    <w:abstractNumId w:val="6"/>
  </w:num>
  <w:num w:numId="21">
    <w:abstractNumId w:val="19"/>
  </w:num>
  <w:num w:numId="22">
    <w:abstractNumId w:val="11"/>
  </w:num>
  <w:num w:numId="23">
    <w:abstractNumId w:val="3"/>
  </w:num>
  <w:num w:numId="24">
    <w:abstractNumId w:val="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CE"/>
    <w:rsid w:val="00006CF3"/>
    <w:rsid w:val="00007C97"/>
    <w:rsid w:val="000129A0"/>
    <w:rsid w:val="00013DC8"/>
    <w:rsid w:val="000142DC"/>
    <w:rsid w:val="00014C26"/>
    <w:rsid w:val="000229E0"/>
    <w:rsid w:val="000275A3"/>
    <w:rsid w:val="00030147"/>
    <w:rsid w:val="000358B4"/>
    <w:rsid w:val="0004395D"/>
    <w:rsid w:val="000450E8"/>
    <w:rsid w:val="00046C0E"/>
    <w:rsid w:val="000472AE"/>
    <w:rsid w:val="00047D61"/>
    <w:rsid w:val="00050880"/>
    <w:rsid w:val="00050FAD"/>
    <w:rsid w:val="000511E8"/>
    <w:rsid w:val="0005272A"/>
    <w:rsid w:val="00054F9B"/>
    <w:rsid w:val="00055CB8"/>
    <w:rsid w:val="00060F25"/>
    <w:rsid w:val="00070CD3"/>
    <w:rsid w:val="00071286"/>
    <w:rsid w:val="00072CA9"/>
    <w:rsid w:val="000734D9"/>
    <w:rsid w:val="000772E2"/>
    <w:rsid w:val="00082E43"/>
    <w:rsid w:val="00084117"/>
    <w:rsid w:val="00086A20"/>
    <w:rsid w:val="00093E77"/>
    <w:rsid w:val="00097FFD"/>
    <w:rsid w:val="000A3FAA"/>
    <w:rsid w:val="000A5402"/>
    <w:rsid w:val="000A5AA7"/>
    <w:rsid w:val="000A5B74"/>
    <w:rsid w:val="000B48ED"/>
    <w:rsid w:val="000B5D61"/>
    <w:rsid w:val="000C328F"/>
    <w:rsid w:val="000D22B9"/>
    <w:rsid w:val="000D6B2E"/>
    <w:rsid w:val="000E4F99"/>
    <w:rsid w:val="000E56ED"/>
    <w:rsid w:val="000E5801"/>
    <w:rsid w:val="000E7BD4"/>
    <w:rsid w:val="000F22A8"/>
    <w:rsid w:val="000F2B2E"/>
    <w:rsid w:val="001017D5"/>
    <w:rsid w:val="00110C9B"/>
    <w:rsid w:val="00117643"/>
    <w:rsid w:val="0013085B"/>
    <w:rsid w:val="00132E32"/>
    <w:rsid w:val="0013587D"/>
    <w:rsid w:val="00150220"/>
    <w:rsid w:val="00155EBB"/>
    <w:rsid w:val="001607B4"/>
    <w:rsid w:val="00162EF9"/>
    <w:rsid w:val="00173929"/>
    <w:rsid w:val="00175AFA"/>
    <w:rsid w:val="00185B24"/>
    <w:rsid w:val="00192575"/>
    <w:rsid w:val="001929E9"/>
    <w:rsid w:val="001966EC"/>
    <w:rsid w:val="001A56B8"/>
    <w:rsid w:val="001A7964"/>
    <w:rsid w:val="001B4845"/>
    <w:rsid w:val="001C61CE"/>
    <w:rsid w:val="001D199C"/>
    <w:rsid w:val="001D3EB2"/>
    <w:rsid w:val="001D470D"/>
    <w:rsid w:val="001E0189"/>
    <w:rsid w:val="001F3674"/>
    <w:rsid w:val="001F6931"/>
    <w:rsid w:val="0020134C"/>
    <w:rsid w:val="002014A7"/>
    <w:rsid w:val="002142C6"/>
    <w:rsid w:val="0021572E"/>
    <w:rsid w:val="00215DC9"/>
    <w:rsid w:val="0022065D"/>
    <w:rsid w:val="002254B8"/>
    <w:rsid w:val="00230551"/>
    <w:rsid w:val="00233087"/>
    <w:rsid w:val="0023373B"/>
    <w:rsid w:val="0023421B"/>
    <w:rsid w:val="0023539E"/>
    <w:rsid w:val="002366B7"/>
    <w:rsid w:val="00236C19"/>
    <w:rsid w:val="00242406"/>
    <w:rsid w:val="002438C9"/>
    <w:rsid w:val="00243AB2"/>
    <w:rsid w:val="00255416"/>
    <w:rsid w:val="00266ABE"/>
    <w:rsid w:val="00276678"/>
    <w:rsid w:val="00282388"/>
    <w:rsid w:val="002836D5"/>
    <w:rsid w:val="00292D37"/>
    <w:rsid w:val="002963A2"/>
    <w:rsid w:val="00296E49"/>
    <w:rsid w:val="002A21FD"/>
    <w:rsid w:val="002A76A7"/>
    <w:rsid w:val="002B604A"/>
    <w:rsid w:val="002B78CE"/>
    <w:rsid w:val="002C2804"/>
    <w:rsid w:val="002C555C"/>
    <w:rsid w:val="002D1DEB"/>
    <w:rsid w:val="002D294A"/>
    <w:rsid w:val="002D378B"/>
    <w:rsid w:val="002D4B07"/>
    <w:rsid w:val="002D698A"/>
    <w:rsid w:val="002E344A"/>
    <w:rsid w:val="002F0BDF"/>
    <w:rsid w:val="002F2A20"/>
    <w:rsid w:val="0032404B"/>
    <w:rsid w:val="0033247F"/>
    <w:rsid w:val="00333734"/>
    <w:rsid w:val="0033740F"/>
    <w:rsid w:val="00342E83"/>
    <w:rsid w:val="00344D64"/>
    <w:rsid w:val="003450A5"/>
    <w:rsid w:val="003544FF"/>
    <w:rsid w:val="00355ADA"/>
    <w:rsid w:val="003602F9"/>
    <w:rsid w:val="00361122"/>
    <w:rsid w:val="003616A2"/>
    <w:rsid w:val="0037078A"/>
    <w:rsid w:val="003743BC"/>
    <w:rsid w:val="003757D2"/>
    <w:rsid w:val="003765B3"/>
    <w:rsid w:val="00381794"/>
    <w:rsid w:val="003A4118"/>
    <w:rsid w:val="003A4FD0"/>
    <w:rsid w:val="003A7FD0"/>
    <w:rsid w:val="003C5F3F"/>
    <w:rsid w:val="003D379B"/>
    <w:rsid w:val="003D3A90"/>
    <w:rsid w:val="003D6E1A"/>
    <w:rsid w:val="003E16FD"/>
    <w:rsid w:val="003F0763"/>
    <w:rsid w:val="00401DD7"/>
    <w:rsid w:val="00405A34"/>
    <w:rsid w:val="00407DC8"/>
    <w:rsid w:val="004108C7"/>
    <w:rsid w:val="00423E22"/>
    <w:rsid w:val="0043195A"/>
    <w:rsid w:val="00453F4E"/>
    <w:rsid w:val="00453FE4"/>
    <w:rsid w:val="004612F3"/>
    <w:rsid w:val="00465484"/>
    <w:rsid w:val="00486A00"/>
    <w:rsid w:val="004943E5"/>
    <w:rsid w:val="004A2CF7"/>
    <w:rsid w:val="004A717B"/>
    <w:rsid w:val="004A7383"/>
    <w:rsid w:val="004B3256"/>
    <w:rsid w:val="004C3261"/>
    <w:rsid w:val="004C7127"/>
    <w:rsid w:val="004D6472"/>
    <w:rsid w:val="004D7EBC"/>
    <w:rsid w:val="004E561F"/>
    <w:rsid w:val="004F2F5E"/>
    <w:rsid w:val="004F5570"/>
    <w:rsid w:val="00500E98"/>
    <w:rsid w:val="0050384C"/>
    <w:rsid w:val="00511DAC"/>
    <w:rsid w:val="0051299C"/>
    <w:rsid w:val="005136A1"/>
    <w:rsid w:val="005161AF"/>
    <w:rsid w:val="005222FD"/>
    <w:rsid w:val="00534041"/>
    <w:rsid w:val="00536DFC"/>
    <w:rsid w:val="00552864"/>
    <w:rsid w:val="005563BB"/>
    <w:rsid w:val="00565634"/>
    <w:rsid w:val="00580A0A"/>
    <w:rsid w:val="00580B32"/>
    <w:rsid w:val="00582C88"/>
    <w:rsid w:val="00583743"/>
    <w:rsid w:val="00590F47"/>
    <w:rsid w:val="0059501A"/>
    <w:rsid w:val="00596E24"/>
    <w:rsid w:val="005B139F"/>
    <w:rsid w:val="005B7EDF"/>
    <w:rsid w:val="005C0D37"/>
    <w:rsid w:val="005C4DCB"/>
    <w:rsid w:val="005D0AE5"/>
    <w:rsid w:val="005D2943"/>
    <w:rsid w:val="005E009D"/>
    <w:rsid w:val="005E023C"/>
    <w:rsid w:val="005E0BBC"/>
    <w:rsid w:val="005E1DE7"/>
    <w:rsid w:val="005E46DC"/>
    <w:rsid w:val="005F1F6A"/>
    <w:rsid w:val="005F51B0"/>
    <w:rsid w:val="005F7E28"/>
    <w:rsid w:val="00603A76"/>
    <w:rsid w:val="00606285"/>
    <w:rsid w:val="006225D1"/>
    <w:rsid w:val="00624729"/>
    <w:rsid w:val="006272A9"/>
    <w:rsid w:val="00636956"/>
    <w:rsid w:val="00642E6E"/>
    <w:rsid w:val="006440F8"/>
    <w:rsid w:val="00652A49"/>
    <w:rsid w:val="00663591"/>
    <w:rsid w:val="006646C0"/>
    <w:rsid w:val="006664AD"/>
    <w:rsid w:val="006720A0"/>
    <w:rsid w:val="0068027C"/>
    <w:rsid w:val="00693407"/>
    <w:rsid w:val="00696BD2"/>
    <w:rsid w:val="006A395B"/>
    <w:rsid w:val="006A6388"/>
    <w:rsid w:val="006A7AA0"/>
    <w:rsid w:val="006B2669"/>
    <w:rsid w:val="006C087A"/>
    <w:rsid w:val="006C3D91"/>
    <w:rsid w:val="006D4DC1"/>
    <w:rsid w:val="006E60C5"/>
    <w:rsid w:val="007001F3"/>
    <w:rsid w:val="00700279"/>
    <w:rsid w:val="00725C08"/>
    <w:rsid w:val="00731770"/>
    <w:rsid w:val="00732F0E"/>
    <w:rsid w:val="00735D47"/>
    <w:rsid w:val="00737D76"/>
    <w:rsid w:val="00743E32"/>
    <w:rsid w:val="0076141E"/>
    <w:rsid w:val="00763EDB"/>
    <w:rsid w:val="0076446E"/>
    <w:rsid w:val="007655E0"/>
    <w:rsid w:val="00765957"/>
    <w:rsid w:val="00765CAE"/>
    <w:rsid w:val="00770916"/>
    <w:rsid w:val="007821FD"/>
    <w:rsid w:val="007859E9"/>
    <w:rsid w:val="00791EFD"/>
    <w:rsid w:val="007A4AC6"/>
    <w:rsid w:val="007B178E"/>
    <w:rsid w:val="007B211F"/>
    <w:rsid w:val="007C2EC5"/>
    <w:rsid w:val="007C3022"/>
    <w:rsid w:val="007C6228"/>
    <w:rsid w:val="007D1173"/>
    <w:rsid w:val="008000F7"/>
    <w:rsid w:val="008037BA"/>
    <w:rsid w:val="00814B0B"/>
    <w:rsid w:val="008223B7"/>
    <w:rsid w:val="0082324B"/>
    <w:rsid w:val="0082411F"/>
    <w:rsid w:val="008244CE"/>
    <w:rsid w:val="0082489B"/>
    <w:rsid w:val="00833F4A"/>
    <w:rsid w:val="008373E5"/>
    <w:rsid w:val="00843135"/>
    <w:rsid w:val="008546CB"/>
    <w:rsid w:val="00860016"/>
    <w:rsid w:val="00865C3C"/>
    <w:rsid w:val="00866027"/>
    <w:rsid w:val="00870931"/>
    <w:rsid w:val="00876E11"/>
    <w:rsid w:val="00876F87"/>
    <w:rsid w:val="008775D1"/>
    <w:rsid w:val="00892A62"/>
    <w:rsid w:val="00897A27"/>
    <w:rsid w:val="008A167D"/>
    <w:rsid w:val="008A77BA"/>
    <w:rsid w:val="008B353D"/>
    <w:rsid w:val="008B4385"/>
    <w:rsid w:val="008C52F9"/>
    <w:rsid w:val="008D3C36"/>
    <w:rsid w:val="008F2CE7"/>
    <w:rsid w:val="00913493"/>
    <w:rsid w:val="009149B7"/>
    <w:rsid w:val="00917CFE"/>
    <w:rsid w:val="009257E4"/>
    <w:rsid w:val="00927E6E"/>
    <w:rsid w:val="009343AE"/>
    <w:rsid w:val="009356EC"/>
    <w:rsid w:val="00935801"/>
    <w:rsid w:val="00937C39"/>
    <w:rsid w:val="00941754"/>
    <w:rsid w:val="00945F94"/>
    <w:rsid w:val="009519D2"/>
    <w:rsid w:val="00962F5A"/>
    <w:rsid w:val="00965DDD"/>
    <w:rsid w:val="00972BA0"/>
    <w:rsid w:val="00977E2F"/>
    <w:rsid w:val="00986232"/>
    <w:rsid w:val="00987820"/>
    <w:rsid w:val="009971F3"/>
    <w:rsid w:val="009A6FCD"/>
    <w:rsid w:val="009B1B23"/>
    <w:rsid w:val="009B534B"/>
    <w:rsid w:val="009B5845"/>
    <w:rsid w:val="009B64AA"/>
    <w:rsid w:val="009C1D05"/>
    <w:rsid w:val="009C259C"/>
    <w:rsid w:val="009C3446"/>
    <w:rsid w:val="009D133C"/>
    <w:rsid w:val="009D14B3"/>
    <w:rsid w:val="009D6BDE"/>
    <w:rsid w:val="009E7564"/>
    <w:rsid w:val="009E7A43"/>
    <w:rsid w:val="009F289E"/>
    <w:rsid w:val="009F40DB"/>
    <w:rsid w:val="00A033CE"/>
    <w:rsid w:val="00A03C9E"/>
    <w:rsid w:val="00A04DCE"/>
    <w:rsid w:val="00A0587D"/>
    <w:rsid w:val="00A06330"/>
    <w:rsid w:val="00A11529"/>
    <w:rsid w:val="00A255BD"/>
    <w:rsid w:val="00A32027"/>
    <w:rsid w:val="00A3387D"/>
    <w:rsid w:val="00A42CB9"/>
    <w:rsid w:val="00A616CC"/>
    <w:rsid w:val="00A63743"/>
    <w:rsid w:val="00A63C92"/>
    <w:rsid w:val="00A67F41"/>
    <w:rsid w:val="00A719A8"/>
    <w:rsid w:val="00A73FAA"/>
    <w:rsid w:val="00A779E9"/>
    <w:rsid w:val="00A84218"/>
    <w:rsid w:val="00AA6BF5"/>
    <w:rsid w:val="00AB226E"/>
    <w:rsid w:val="00AB50D7"/>
    <w:rsid w:val="00AB5455"/>
    <w:rsid w:val="00AC10F4"/>
    <w:rsid w:val="00AC69A4"/>
    <w:rsid w:val="00AD0F2F"/>
    <w:rsid w:val="00AD4E4B"/>
    <w:rsid w:val="00AE1F9E"/>
    <w:rsid w:val="00AE3D60"/>
    <w:rsid w:val="00AF40D8"/>
    <w:rsid w:val="00AF537F"/>
    <w:rsid w:val="00B02856"/>
    <w:rsid w:val="00B03885"/>
    <w:rsid w:val="00B04C49"/>
    <w:rsid w:val="00B11794"/>
    <w:rsid w:val="00B124B6"/>
    <w:rsid w:val="00B20DC6"/>
    <w:rsid w:val="00B277C7"/>
    <w:rsid w:val="00B40991"/>
    <w:rsid w:val="00B464BC"/>
    <w:rsid w:val="00B57F52"/>
    <w:rsid w:val="00B60431"/>
    <w:rsid w:val="00B660DA"/>
    <w:rsid w:val="00B675CE"/>
    <w:rsid w:val="00B67C0B"/>
    <w:rsid w:val="00B70322"/>
    <w:rsid w:val="00B70FF1"/>
    <w:rsid w:val="00B742AD"/>
    <w:rsid w:val="00B82129"/>
    <w:rsid w:val="00B82140"/>
    <w:rsid w:val="00B82250"/>
    <w:rsid w:val="00B83890"/>
    <w:rsid w:val="00B84C5E"/>
    <w:rsid w:val="00B85E70"/>
    <w:rsid w:val="00B96959"/>
    <w:rsid w:val="00BA05B9"/>
    <w:rsid w:val="00BA139C"/>
    <w:rsid w:val="00BB77EA"/>
    <w:rsid w:val="00BB7B97"/>
    <w:rsid w:val="00BC6CD0"/>
    <w:rsid w:val="00BC7ACB"/>
    <w:rsid w:val="00BD023B"/>
    <w:rsid w:val="00BD1E70"/>
    <w:rsid w:val="00BE0E22"/>
    <w:rsid w:val="00BE2F83"/>
    <w:rsid w:val="00BE6371"/>
    <w:rsid w:val="00BE6593"/>
    <w:rsid w:val="00BF3680"/>
    <w:rsid w:val="00BF4B30"/>
    <w:rsid w:val="00BF53C8"/>
    <w:rsid w:val="00BF677A"/>
    <w:rsid w:val="00C006E6"/>
    <w:rsid w:val="00C03C08"/>
    <w:rsid w:val="00C04C65"/>
    <w:rsid w:val="00C12BB2"/>
    <w:rsid w:val="00C17145"/>
    <w:rsid w:val="00C20FE3"/>
    <w:rsid w:val="00C46913"/>
    <w:rsid w:val="00C506B0"/>
    <w:rsid w:val="00C53AD0"/>
    <w:rsid w:val="00C64DC9"/>
    <w:rsid w:val="00C702EB"/>
    <w:rsid w:val="00C86163"/>
    <w:rsid w:val="00C909FB"/>
    <w:rsid w:val="00C93D70"/>
    <w:rsid w:val="00CA029E"/>
    <w:rsid w:val="00CB08D3"/>
    <w:rsid w:val="00CB0F89"/>
    <w:rsid w:val="00CB11E6"/>
    <w:rsid w:val="00CB3B59"/>
    <w:rsid w:val="00CB639E"/>
    <w:rsid w:val="00CB73AF"/>
    <w:rsid w:val="00CC60A2"/>
    <w:rsid w:val="00CC6902"/>
    <w:rsid w:val="00CD1F73"/>
    <w:rsid w:val="00CD32AD"/>
    <w:rsid w:val="00CD3DD6"/>
    <w:rsid w:val="00CD6389"/>
    <w:rsid w:val="00CD68FC"/>
    <w:rsid w:val="00CE56DA"/>
    <w:rsid w:val="00CE5762"/>
    <w:rsid w:val="00CF7339"/>
    <w:rsid w:val="00D01A9A"/>
    <w:rsid w:val="00D05999"/>
    <w:rsid w:val="00D145B8"/>
    <w:rsid w:val="00D14BE9"/>
    <w:rsid w:val="00D16AFC"/>
    <w:rsid w:val="00D1734D"/>
    <w:rsid w:val="00D21CA8"/>
    <w:rsid w:val="00D238A0"/>
    <w:rsid w:val="00D24179"/>
    <w:rsid w:val="00D244C3"/>
    <w:rsid w:val="00D265CB"/>
    <w:rsid w:val="00D27287"/>
    <w:rsid w:val="00D36BE6"/>
    <w:rsid w:val="00D37C95"/>
    <w:rsid w:val="00D401FF"/>
    <w:rsid w:val="00D43980"/>
    <w:rsid w:val="00D45474"/>
    <w:rsid w:val="00D47BB7"/>
    <w:rsid w:val="00D5025B"/>
    <w:rsid w:val="00D50475"/>
    <w:rsid w:val="00D51886"/>
    <w:rsid w:val="00D55AC4"/>
    <w:rsid w:val="00D63F9B"/>
    <w:rsid w:val="00D710F7"/>
    <w:rsid w:val="00D85605"/>
    <w:rsid w:val="00D8730C"/>
    <w:rsid w:val="00D907C6"/>
    <w:rsid w:val="00D94601"/>
    <w:rsid w:val="00D97275"/>
    <w:rsid w:val="00D97A0C"/>
    <w:rsid w:val="00DA1573"/>
    <w:rsid w:val="00DB0289"/>
    <w:rsid w:val="00DB178D"/>
    <w:rsid w:val="00DB4866"/>
    <w:rsid w:val="00DC10CC"/>
    <w:rsid w:val="00DC5973"/>
    <w:rsid w:val="00DD3713"/>
    <w:rsid w:val="00DD500D"/>
    <w:rsid w:val="00DE2611"/>
    <w:rsid w:val="00DE69C3"/>
    <w:rsid w:val="00DF0AF7"/>
    <w:rsid w:val="00DF352D"/>
    <w:rsid w:val="00E06E61"/>
    <w:rsid w:val="00E0773F"/>
    <w:rsid w:val="00E12D7A"/>
    <w:rsid w:val="00E149EA"/>
    <w:rsid w:val="00E15B19"/>
    <w:rsid w:val="00E30BD0"/>
    <w:rsid w:val="00E32251"/>
    <w:rsid w:val="00E34337"/>
    <w:rsid w:val="00E409FF"/>
    <w:rsid w:val="00E43274"/>
    <w:rsid w:val="00E45B9D"/>
    <w:rsid w:val="00E5039B"/>
    <w:rsid w:val="00E51823"/>
    <w:rsid w:val="00E54298"/>
    <w:rsid w:val="00E57457"/>
    <w:rsid w:val="00E7249F"/>
    <w:rsid w:val="00E93376"/>
    <w:rsid w:val="00E94996"/>
    <w:rsid w:val="00E95516"/>
    <w:rsid w:val="00EA0402"/>
    <w:rsid w:val="00EA1F33"/>
    <w:rsid w:val="00EA2D81"/>
    <w:rsid w:val="00EA4998"/>
    <w:rsid w:val="00EB1325"/>
    <w:rsid w:val="00EC4D4C"/>
    <w:rsid w:val="00EC77AF"/>
    <w:rsid w:val="00EE3AEE"/>
    <w:rsid w:val="00EE3E30"/>
    <w:rsid w:val="00EE65DC"/>
    <w:rsid w:val="00EE687E"/>
    <w:rsid w:val="00EF4826"/>
    <w:rsid w:val="00EF7D95"/>
    <w:rsid w:val="00F12B18"/>
    <w:rsid w:val="00F14937"/>
    <w:rsid w:val="00F25522"/>
    <w:rsid w:val="00F41D5B"/>
    <w:rsid w:val="00F42602"/>
    <w:rsid w:val="00F50283"/>
    <w:rsid w:val="00F51FC3"/>
    <w:rsid w:val="00F5215E"/>
    <w:rsid w:val="00F5304C"/>
    <w:rsid w:val="00F5487E"/>
    <w:rsid w:val="00F55C26"/>
    <w:rsid w:val="00F56741"/>
    <w:rsid w:val="00F72873"/>
    <w:rsid w:val="00F72F40"/>
    <w:rsid w:val="00F812AA"/>
    <w:rsid w:val="00F8513E"/>
    <w:rsid w:val="00F94039"/>
    <w:rsid w:val="00FA1087"/>
    <w:rsid w:val="00FB0156"/>
    <w:rsid w:val="00FB0D6C"/>
    <w:rsid w:val="00FB2A44"/>
    <w:rsid w:val="00FB32FF"/>
    <w:rsid w:val="00FB5329"/>
    <w:rsid w:val="00FC029A"/>
    <w:rsid w:val="00FD02A0"/>
    <w:rsid w:val="00FD3ED4"/>
    <w:rsid w:val="00FD6EC3"/>
    <w:rsid w:val="00FE2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efaultImageDpi w14:val="300"/>
  <w15:docId w15:val="{CEF114D1-DEF1-43B0-8E8F-B9D70D10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27"/>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link w:val="BoxtextChar"/>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rsid w:val="008244CE"/>
    <w:rPr>
      <w:vertAlign w:val="superscript"/>
    </w:rPr>
  </w:style>
  <w:style w:type="character" w:customStyle="1" w:styleId="A2">
    <w:name w:val="A2"/>
    <w:uiPriority w:val="99"/>
    <w:rsid w:val="008244CE"/>
    <w:rPr>
      <w:rFonts w:cs="Trebuchet MS"/>
      <w:color w:val="000000"/>
      <w:sz w:val="96"/>
      <w:szCs w:val="96"/>
    </w:rPr>
  </w:style>
  <w:style w:type="character" w:customStyle="1" w:styleId="A3">
    <w:name w:val="A3"/>
    <w:uiPriority w:val="99"/>
    <w:rsid w:val="008244CE"/>
    <w:rPr>
      <w:rFonts w:cs="Trebuchet MS"/>
      <w:color w:val="000000"/>
      <w:sz w:val="60"/>
      <w:szCs w:val="60"/>
    </w:rPr>
  </w:style>
  <w:style w:type="character" w:customStyle="1" w:styleId="A4">
    <w:name w:val="A4"/>
    <w:uiPriority w:val="99"/>
    <w:rsid w:val="008244CE"/>
    <w:rPr>
      <w:rFonts w:cs="Trebuchet MS"/>
      <w:color w:val="000000"/>
      <w:sz w:val="32"/>
      <w:szCs w:val="32"/>
    </w:rPr>
  </w:style>
  <w:style w:type="character" w:customStyle="1" w:styleId="apple-converted-space">
    <w:name w:val="apple-converted-space"/>
    <w:basedOn w:val="DefaultParagraphFont"/>
    <w:rsid w:val="00865C3C"/>
  </w:style>
  <w:style w:type="paragraph" w:customStyle="1" w:styleId="Default">
    <w:name w:val="Default"/>
    <w:rsid w:val="002A76A7"/>
    <w:pPr>
      <w:autoSpaceDE w:val="0"/>
      <w:autoSpaceDN w:val="0"/>
      <w:adjustRightInd w:val="0"/>
      <w:spacing w:before="0" w:after="0" w:line="240" w:lineRule="auto"/>
    </w:pPr>
    <w:rPr>
      <w:rFonts w:ascii="Arial" w:hAnsi="Arial" w:cs="Arial"/>
      <w:color w:val="000000"/>
      <w:lang w:val="en-AU"/>
    </w:rPr>
  </w:style>
  <w:style w:type="character" w:customStyle="1" w:styleId="BoxtextChar">
    <w:name w:val="Box text Char"/>
    <w:basedOn w:val="DefaultParagraphFont"/>
    <w:link w:val="Boxtext"/>
    <w:rsid w:val="00A06330"/>
    <w:rPr>
      <w:rFonts w:ascii="Arial" w:eastAsiaTheme="minorHAnsi" w:hAnsi="Arial" w:cs="Arial"/>
      <w:sz w:val="22"/>
      <w:szCs w:val="22"/>
      <w:shd w:val="clear" w:color="auto" w:fill="E9E9C7"/>
      <w:lang w:val="en-AU" w:eastAsia="en-AU"/>
    </w:rPr>
  </w:style>
  <w:style w:type="character" w:styleId="Strong">
    <w:name w:val="Strong"/>
    <w:basedOn w:val="DefaultParagraphFont"/>
    <w:uiPriority w:val="22"/>
    <w:qFormat/>
    <w:rsid w:val="00282388"/>
    <w:rPr>
      <w:b/>
      <w:bCs/>
    </w:rPr>
  </w:style>
  <w:style w:type="character" w:styleId="Emphasis">
    <w:name w:val="Emphasis"/>
    <w:basedOn w:val="DefaultParagraphFont"/>
    <w:uiPriority w:val="20"/>
    <w:qFormat/>
    <w:rsid w:val="00282388"/>
    <w:rPr>
      <w:i/>
      <w:iCs/>
    </w:rPr>
  </w:style>
  <w:style w:type="paragraph" w:styleId="NormalWeb">
    <w:name w:val="Normal (Web)"/>
    <w:basedOn w:val="Normal"/>
    <w:uiPriority w:val="99"/>
    <w:semiHidden/>
    <w:unhideWhenUsed/>
    <w:rsid w:val="00282388"/>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3182">
      <w:bodyDiv w:val="1"/>
      <w:marLeft w:val="0"/>
      <w:marRight w:val="0"/>
      <w:marTop w:val="0"/>
      <w:marBottom w:val="0"/>
      <w:divBdr>
        <w:top w:val="none" w:sz="0" w:space="0" w:color="auto"/>
        <w:left w:val="none" w:sz="0" w:space="0" w:color="auto"/>
        <w:bottom w:val="none" w:sz="0" w:space="0" w:color="auto"/>
        <w:right w:val="none" w:sz="0" w:space="0" w:color="auto"/>
      </w:divBdr>
    </w:div>
    <w:div w:id="604390268">
      <w:bodyDiv w:val="1"/>
      <w:marLeft w:val="0"/>
      <w:marRight w:val="0"/>
      <w:marTop w:val="0"/>
      <w:marBottom w:val="0"/>
      <w:divBdr>
        <w:top w:val="none" w:sz="0" w:space="0" w:color="auto"/>
        <w:left w:val="none" w:sz="0" w:space="0" w:color="auto"/>
        <w:bottom w:val="none" w:sz="0" w:space="0" w:color="auto"/>
        <w:right w:val="none" w:sz="0" w:space="0" w:color="auto"/>
      </w:divBdr>
    </w:div>
    <w:div w:id="954869206">
      <w:bodyDiv w:val="1"/>
      <w:marLeft w:val="0"/>
      <w:marRight w:val="0"/>
      <w:marTop w:val="0"/>
      <w:marBottom w:val="0"/>
      <w:divBdr>
        <w:top w:val="none" w:sz="0" w:space="0" w:color="auto"/>
        <w:left w:val="none" w:sz="0" w:space="0" w:color="auto"/>
        <w:bottom w:val="none" w:sz="0" w:space="0" w:color="auto"/>
        <w:right w:val="none" w:sz="0" w:space="0" w:color="auto"/>
      </w:divBdr>
    </w:div>
    <w:div w:id="1037664020">
      <w:bodyDiv w:val="1"/>
      <w:marLeft w:val="0"/>
      <w:marRight w:val="0"/>
      <w:marTop w:val="0"/>
      <w:marBottom w:val="0"/>
      <w:divBdr>
        <w:top w:val="none" w:sz="0" w:space="0" w:color="auto"/>
        <w:left w:val="none" w:sz="0" w:space="0" w:color="auto"/>
        <w:bottom w:val="none" w:sz="0" w:space="0" w:color="auto"/>
        <w:right w:val="none" w:sz="0" w:space="0" w:color="auto"/>
      </w:divBdr>
    </w:div>
    <w:div w:id="1352755211">
      <w:bodyDiv w:val="1"/>
      <w:marLeft w:val="0"/>
      <w:marRight w:val="0"/>
      <w:marTop w:val="0"/>
      <w:marBottom w:val="0"/>
      <w:divBdr>
        <w:top w:val="none" w:sz="0" w:space="0" w:color="auto"/>
        <w:left w:val="none" w:sz="0" w:space="0" w:color="auto"/>
        <w:bottom w:val="none" w:sz="0" w:space="0" w:color="auto"/>
        <w:right w:val="none" w:sz="0" w:space="0" w:color="auto"/>
      </w:divBdr>
    </w:div>
    <w:div w:id="1625502691">
      <w:bodyDiv w:val="1"/>
      <w:marLeft w:val="0"/>
      <w:marRight w:val="0"/>
      <w:marTop w:val="0"/>
      <w:marBottom w:val="0"/>
      <w:divBdr>
        <w:top w:val="none" w:sz="0" w:space="0" w:color="auto"/>
        <w:left w:val="none" w:sz="0" w:space="0" w:color="auto"/>
        <w:bottom w:val="none" w:sz="0" w:space="0" w:color="auto"/>
        <w:right w:val="none" w:sz="0" w:space="0" w:color="auto"/>
      </w:divBdr>
    </w:div>
    <w:div w:id="1694377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1017-31F0-4CA8-A2FE-A575F1E5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55</TotalTime>
  <Pages>22</Pages>
  <Words>5720</Words>
  <Characters>32610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McKail</dc:creator>
  <cp:lastModifiedBy>Che Stockley</cp:lastModifiedBy>
  <cp:revision>4</cp:revision>
  <cp:lastPrinted>2017-06-26T06:20:00Z</cp:lastPrinted>
  <dcterms:created xsi:type="dcterms:W3CDTF">2017-06-26T05:36:00Z</dcterms:created>
  <dcterms:modified xsi:type="dcterms:W3CDTF">2017-06-26T06:30:00Z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